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F6370">
      <w:pPr>
        <w:jc w:val="left"/>
        <w:rPr>
          <w:rFonts w:hint="default" w:ascii="Times New Roman" w:hAnsi="Times New Roman" w:eastAsia="Arial Unicode MS" w:cs="Times New Roman"/>
          <w:color w:val="auto"/>
          <w:sz w:val="44"/>
          <w:szCs w:val="44"/>
          <w:lang w:val="en-US" w:eastAsia="zh-CN"/>
        </w:rPr>
      </w:pPr>
      <w:r>
        <w:rPr>
          <w:rFonts w:hint="eastAsia" w:ascii="Arial Unicode MS" w:hAnsi="Arial Unicode MS" w:eastAsia="Arial Unicode MS" w:cs="宋体"/>
          <w:b w:val="0"/>
          <w:bCs w:val="0"/>
          <w:color w:val="auto"/>
          <w:sz w:val="24"/>
          <w:szCs w:val="24"/>
          <w:lang w:val="en-US" w:eastAsia="zh-CN"/>
        </w:rPr>
        <w:t>简化版（200万以下适用）</w:t>
      </w:r>
      <w:r>
        <w:rPr>
          <w:rFonts w:hint="eastAsia" w:ascii="Arial Unicode MS" w:hAnsi="Arial Unicode MS" w:eastAsia="Arial Unicode MS" w:cs="宋体"/>
          <w:color w:val="auto"/>
          <w:sz w:val="24"/>
          <w:szCs w:val="24"/>
          <w:lang w:val="en-US" w:eastAsia="zh-CN"/>
        </w:rPr>
        <w:t xml:space="preserve">                                        附件3</w:t>
      </w:r>
    </w:p>
    <w:p w14:paraId="14C988EE">
      <w:pPr>
        <w:jc w:val="left"/>
        <w:rPr>
          <w:rFonts w:hint="eastAsia" w:ascii="Arial Unicode MS" w:hAnsi="Arial Unicode MS" w:eastAsia="Arial Unicode MS" w:cs="宋体"/>
          <w:sz w:val="44"/>
          <w:szCs w:val="44"/>
          <w:lang w:eastAsia="zh-CN"/>
        </w:rPr>
      </w:pPr>
    </w:p>
    <w:p w14:paraId="7D7F81AD">
      <w:pPr>
        <w:jc w:val="center"/>
        <w:rPr>
          <w:rFonts w:hint="eastAsia" w:ascii="Arial Unicode MS" w:hAnsi="Arial Unicode MS" w:eastAsia="Arial Unicode MS" w:cs="宋体"/>
          <w:sz w:val="44"/>
          <w:szCs w:val="44"/>
          <w:lang w:eastAsia="zh-CN"/>
        </w:rPr>
      </w:pPr>
    </w:p>
    <w:p w14:paraId="751F8768">
      <w:pPr>
        <w:jc w:val="center"/>
        <w:rPr>
          <w:rFonts w:hint="eastAsia" w:ascii="黑体" w:hAnsi="黑体" w:eastAsia="黑体" w:cs="黑体"/>
          <w:sz w:val="44"/>
          <w:szCs w:val="44"/>
          <w:lang w:val="en-US" w:eastAsia="zh-CN"/>
        </w:rPr>
      </w:pPr>
      <w:r>
        <w:rPr>
          <w:rFonts w:hint="eastAsia" w:ascii="黑体" w:hAnsi="黑体" w:eastAsia="黑体" w:cs="黑体"/>
          <w:sz w:val="44"/>
          <w:szCs w:val="44"/>
          <w:lang w:eastAsia="zh-CN"/>
        </w:rPr>
        <w:t>海南热带海洋学院</w:t>
      </w:r>
      <w:r>
        <w:rPr>
          <w:rFonts w:hint="eastAsia" w:ascii="黑体" w:hAnsi="黑体" w:eastAsia="黑体" w:cs="黑体"/>
          <w:sz w:val="44"/>
          <w:szCs w:val="44"/>
          <w:lang w:val="en-US" w:eastAsia="zh-CN"/>
        </w:rPr>
        <w:t>货物和服务</w:t>
      </w:r>
    </w:p>
    <w:p w14:paraId="15D364B9">
      <w:pPr>
        <w:jc w:val="center"/>
        <w:rPr>
          <w:rFonts w:hint="eastAsia" w:ascii="黑体" w:hAnsi="黑体" w:eastAsia="黑体" w:cs="黑体"/>
          <w:sz w:val="44"/>
          <w:szCs w:val="44"/>
          <w:lang w:val="en-US" w:eastAsia="zh-CN"/>
        </w:rPr>
      </w:pPr>
      <w:r>
        <w:rPr>
          <w:rFonts w:hint="eastAsia" w:ascii="黑体" w:hAnsi="黑体" w:eastAsia="黑体" w:cs="黑体"/>
          <w:sz w:val="44"/>
          <w:szCs w:val="44"/>
          <w:lang w:eastAsia="zh-CN"/>
        </w:rPr>
        <w:t>采购实施计划</w:t>
      </w:r>
      <w:r>
        <w:rPr>
          <w:rFonts w:hint="eastAsia" w:ascii="黑体" w:hAnsi="黑体" w:eastAsia="黑体" w:cs="黑体"/>
          <w:sz w:val="44"/>
          <w:szCs w:val="44"/>
          <w:lang w:val="en-US" w:eastAsia="zh-CN"/>
        </w:rPr>
        <w:t>书及一般性审查意见</w:t>
      </w:r>
    </w:p>
    <w:p w14:paraId="4E015C3B">
      <w:pPr>
        <w:jc w:val="center"/>
        <w:rPr>
          <w:rFonts w:hint="default" w:ascii="Arial Unicode MS" w:hAnsi="Arial Unicode MS" w:eastAsia="Arial Unicode MS" w:cs="宋体"/>
          <w:sz w:val="44"/>
          <w:szCs w:val="44"/>
          <w:lang w:val="en-US" w:eastAsia="zh-CN"/>
        </w:rPr>
      </w:pPr>
    </w:p>
    <w:p w14:paraId="3B956C61">
      <w:pPr>
        <w:jc w:val="center"/>
        <w:rPr>
          <w:rFonts w:hint="default" w:ascii="Arial Unicode MS" w:hAnsi="Arial Unicode MS" w:eastAsia="Arial Unicode MS" w:cs="宋体"/>
          <w:sz w:val="44"/>
          <w:szCs w:val="44"/>
          <w:lang w:val="en-US" w:eastAsia="zh-CN"/>
        </w:rPr>
      </w:pPr>
    </w:p>
    <w:p w14:paraId="02F2C533">
      <w:pPr>
        <w:keepNext w:val="0"/>
        <w:keepLines w:val="0"/>
        <w:pageBreakBefore w:val="0"/>
        <w:widowControl w:val="0"/>
        <w:kinsoku/>
        <w:wordWrap/>
        <w:overflowPunct/>
        <w:topLinePunct w:val="0"/>
        <w:autoSpaceDE/>
        <w:autoSpaceDN/>
        <w:bidi w:val="0"/>
        <w:spacing w:line="460" w:lineRule="exact"/>
        <w:jc w:val="center"/>
        <w:textAlignment w:val="auto"/>
        <w:rPr>
          <w:rFonts w:ascii="Arial Unicode MS" w:hAnsi="Arial Unicode MS" w:eastAsia="Arial Unicode MS"/>
          <w:sz w:val="44"/>
          <w:szCs w:val="44"/>
        </w:rPr>
      </w:pPr>
    </w:p>
    <w:p w14:paraId="473A2362">
      <w:pPr>
        <w:keepNext w:val="0"/>
        <w:keepLines w:val="0"/>
        <w:pageBreakBefore w:val="0"/>
        <w:widowControl w:val="0"/>
        <w:kinsoku/>
        <w:wordWrap/>
        <w:overflowPunct/>
        <w:topLinePunct w:val="0"/>
        <w:autoSpaceDE/>
        <w:autoSpaceDN/>
        <w:bidi w:val="0"/>
        <w:spacing w:line="460" w:lineRule="exact"/>
        <w:jc w:val="center"/>
        <w:textAlignment w:val="auto"/>
        <w:rPr>
          <w:rFonts w:ascii="Arial Unicode MS" w:hAnsi="Arial Unicode MS" w:eastAsia="Arial Unicode MS"/>
          <w:sz w:val="44"/>
          <w:szCs w:val="44"/>
        </w:rPr>
      </w:pPr>
    </w:p>
    <w:p w14:paraId="0346E381">
      <w:pPr>
        <w:keepNext w:val="0"/>
        <w:keepLines w:val="0"/>
        <w:pageBreakBefore w:val="0"/>
        <w:widowControl w:val="0"/>
        <w:kinsoku/>
        <w:wordWrap/>
        <w:overflowPunct/>
        <w:topLinePunct w:val="0"/>
        <w:autoSpaceDE/>
        <w:autoSpaceDN/>
        <w:bidi w:val="0"/>
        <w:spacing w:line="460" w:lineRule="exact"/>
        <w:jc w:val="center"/>
        <w:textAlignment w:val="auto"/>
        <w:rPr>
          <w:rFonts w:ascii="Arial Unicode MS" w:hAnsi="Arial Unicode MS" w:eastAsia="Arial Unicode MS"/>
          <w:sz w:val="44"/>
          <w:szCs w:val="44"/>
        </w:rPr>
      </w:pPr>
    </w:p>
    <w:p w14:paraId="196D1065">
      <w:pPr>
        <w:keepNext w:val="0"/>
        <w:keepLines w:val="0"/>
        <w:pageBreakBefore w:val="0"/>
        <w:widowControl w:val="0"/>
        <w:kinsoku/>
        <w:wordWrap/>
        <w:overflowPunct/>
        <w:topLinePunct w:val="0"/>
        <w:autoSpaceDE/>
        <w:autoSpaceDN/>
        <w:bidi w:val="0"/>
        <w:spacing w:line="460" w:lineRule="exact"/>
        <w:jc w:val="center"/>
        <w:textAlignment w:val="auto"/>
        <w:rPr>
          <w:rFonts w:ascii="Arial Unicode MS" w:hAnsi="Arial Unicode MS" w:eastAsia="Arial Unicode MS"/>
          <w:sz w:val="44"/>
          <w:szCs w:val="44"/>
        </w:rPr>
      </w:pPr>
    </w:p>
    <w:p w14:paraId="168B1C43">
      <w:pPr>
        <w:keepNext w:val="0"/>
        <w:keepLines w:val="0"/>
        <w:pageBreakBefore w:val="0"/>
        <w:widowControl w:val="0"/>
        <w:kinsoku/>
        <w:wordWrap/>
        <w:overflowPunct/>
        <w:topLinePunct w:val="0"/>
        <w:autoSpaceDE/>
        <w:autoSpaceDN/>
        <w:bidi w:val="0"/>
        <w:spacing w:line="460" w:lineRule="exact"/>
        <w:jc w:val="center"/>
        <w:textAlignment w:val="auto"/>
        <w:rPr>
          <w:rFonts w:ascii="Arial Unicode MS" w:hAnsi="Arial Unicode MS" w:eastAsia="Arial Unicode MS"/>
          <w:sz w:val="44"/>
          <w:szCs w:val="44"/>
        </w:rPr>
      </w:pPr>
    </w:p>
    <w:p w14:paraId="4F31B802">
      <w:pPr>
        <w:keepNext w:val="0"/>
        <w:keepLines w:val="0"/>
        <w:pageBreakBefore w:val="0"/>
        <w:widowControl w:val="0"/>
        <w:kinsoku/>
        <w:wordWrap/>
        <w:overflowPunct/>
        <w:topLinePunct w:val="0"/>
        <w:autoSpaceDE/>
        <w:autoSpaceDN/>
        <w:bidi w:val="0"/>
        <w:spacing w:line="460" w:lineRule="exact"/>
        <w:ind w:firstLine="640" w:firstLineChars="200"/>
        <w:textAlignment w:val="auto"/>
        <w:rPr>
          <w:rFonts w:ascii="Arial Unicode MS" w:hAnsi="Arial Unicode MS" w:eastAsia="Arial Unicode MS"/>
          <w:sz w:val="32"/>
          <w:szCs w:val="32"/>
        </w:rPr>
      </w:pPr>
    </w:p>
    <w:p w14:paraId="08B8FCB7">
      <w:pPr>
        <w:keepNext w:val="0"/>
        <w:keepLines w:val="0"/>
        <w:pageBreakBefore w:val="0"/>
        <w:widowControl w:val="0"/>
        <w:kinsoku/>
        <w:wordWrap/>
        <w:overflowPunct/>
        <w:topLinePunct w:val="0"/>
        <w:autoSpaceDE/>
        <w:autoSpaceDN/>
        <w:bidi w:val="0"/>
        <w:spacing w:line="460" w:lineRule="exact"/>
        <w:ind w:firstLine="640" w:firstLineChars="200"/>
        <w:textAlignment w:val="auto"/>
        <w:rPr>
          <w:rFonts w:ascii="Arial Unicode MS" w:hAnsi="Arial Unicode MS" w:eastAsia="Arial Unicode MS"/>
          <w:sz w:val="32"/>
          <w:szCs w:val="32"/>
        </w:rPr>
      </w:pPr>
    </w:p>
    <w:p w14:paraId="2F6F8D88">
      <w:pPr>
        <w:keepNext w:val="0"/>
        <w:keepLines w:val="0"/>
        <w:pageBreakBefore w:val="0"/>
        <w:widowControl w:val="0"/>
        <w:kinsoku/>
        <w:wordWrap/>
        <w:overflowPunct/>
        <w:topLinePunct w:val="0"/>
        <w:autoSpaceDE/>
        <w:autoSpaceDN/>
        <w:bidi w:val="0"/>
        <w:spacing w:line="460" w:lineRule="exact"/>
        <w:ind w:firstLine="640" w:firstLineChars="200"/>
        <w:textAlignment w:val="auto"/>
        <w:rPr>
          <w:rFonts w:ascii="Arial Unicode MS" w:hAnsi="Arial Unicode MS" w:eastAsia="Arial Unicode MS"/>
          <w:sz w:val="32"/>
          <w:szCs w:val="32"/>
        </w:rPr>
      </w:pPr>
    </w:p>
    <w:p w14:paraId="7AE2FDF4">
      <w:pPr>
        <w:keepNext w:val="0"/>
        <w:keepLines w:val="0"/>
        <w:pageBreakBefore w:val="0"/>
        <w:widowControl w:val="0"/>
        <w:kinsoku/>
        <w:wordWrap/>
        <w:overflowPunct/>
        <w:topLinePunct w:val="0"/>
        <w:autoSpaceDE/>
        <w:autoSpaceDN/>
        <w:bidi w:val="0"/>
        <w:spacing w:line="460" w:lineRule="exact"/>
        <w:ind w:firstLine="640" w:firstLineChars="200"/>
        <w:textAlignment w:val="auto"/>
        <w:rPr>
          <w:rFonts w:ascii="Arial Unicode MS" w:hAnsi="Arial Unicode MS" w:eastAsia="Arial Unicode MS"/>
          <w:sz w:val="32"/>
          <w:szCs w:val="32"/>
        </w:rPr>
      </w:pPr>
    </w:p>
    <w:p w14:paraId="48553EBD">
      <w:pPr>
        <w:keepNext w:val="0"/>
        <w:keepLines w:val="0"/>
        <w:pageBreakBefore w:val="0"/>
        <w:widowControl w:val="0"/>
        <w:kinsoku/>
        <w:wordWrap/>
        <w:overflowPunct/>
        <w:topLinePunct w:val="0"/>
        <w:autoSpaceDE/>
        <w:autoSpaceDN/>
        <w:bidi w:val="0"/>
        <w:spacing w:line="460" w:lineRule="exact"/>
        <w:textAlignment w:val="auto"/>
        <w:rPr>
          <w:rFonts w:ascii="Arial Unicode MS" w:hAnsi="Arial Unicode MS" w:eastAsia="Arial Unicode MS"/>
          <w:sz w:val="32"/>
          <w:szCs w:val="32"/>
        </w:rPr>
      </w:pPr>
    </w:p>
    <w:p w14:paraId="6788E9D8">
      <w:pPr>
        <w:keepNext w:val="0"/>
        <w:keepLines w:val="0"/>
        <w:pageBreakBefore w:val="0"/>
        <w:widowControl w:val="0"/>
        <w:kinsoku/>
        <w:wordWrap/>
        <w:overflowPunct/>
        <w:topLinePunct w:val="0"/>
        <w:autoSpaceDE/>
        <w:autoSpaceDN/>
        <w:bidi w:val="0"/>
        <w:spacing w:line="460" w:lineRule="exact"/>
        <w:ind w:firstLine="640" w:firstLineChars="200"/>
        <w:textAlignment w:val="auto"/>
        <w:rPr>
          <w:rFonts w:ascii="Arial Unicode MS" w:hAnsi="Arial Unicode MS" w:eastAsia="Arial Unicode MS"/>
          <w:sz w:val="32"/>
          <w:szCs w:val="32"/>
        </w:rPr>
      </w:pPr>
    </w:p>
    <w:p w14:paraId="6804F3EF">
      <w:pPr>
        <w:keepNext w:val="0"/>
        <w:keepLines w:val="0"/>
        <w:pageBreakBefore w:val="0"/>
        <w:widowControl w:val="0"/>
        <w:kinsoku/>
        <w:wordWrap/>
        <w:overflowPunct/>
        <w:topLinePunct w:val="0"/>
        <w:autoSpaceDE/>
        <w:autoSpaceDN/>
        <w:bidi w:val="0"/>
        <w:adjustRightInd/>
        <w:snapToGrid/>
        <w:spacing w:line="500" w:lineRule="exact"/>
        <w:ind w:firstLine="1440" w:firstLineChars="450"/>
        <w:textAlignment w:val="auto"/>
        <w:rPr>
          <w:rFonts w:ascii="Arial Unicode MS" w:hAnsi="Arial Unicode MS" w:eastAsia="Arial Unicode MS"/>
          <w:sz w:val="32"/>
          <w:szCs w:val="32"/>
          <w:u w:val="single"/>
        </w:rPr>
      </w:pPr>
      <w:r>
        <w:rPr>
          <w:rFonts w:ascii="Arial Unicode MS" w:hAnsi="Arial Unicode MS" w:eastAsia="Arial Unicode MS"/>
          <w:sz w:val="32"/>
          <w:szCs w:val="32"/>
        </w:rPr>
        <w:t>项目名称</w:t>
      </w:r>
      <w:r>
        <w:rPr>
          <w:rFonts w:hint="eastAsia" w:ascii="Arial Unicode MS" w:hAnsi="Arial Unicode MS" w:eastAsia="Arial Unicode MS"/>
          <w:sz w:val="32"/>
          <w:szCs w:val="32"/>
        </w:rPr>
        <w:t>：</w:t>
      </w:r>
      <w:r>
        <w:rPr>
          <w:rFonts w:hint="eastAsia" w:ascii="Arial Unicode MS" w:hAnsi="Arial Unicode MS" w:eastAsia="Arial Unicode MS"/>
          <w:sz w:val="32"/>
          <w:szCs w:val="32"/>
          <w:u w:val="single"/>
        </w:rPr>
        <w:t xml:space="preserve">                   </w:t>
      </w:r>
      <w:r>
        <w:rPr>
          <w:rFonts w:hint="eastAsia" w:ascii="Arial Unicode MS" w:hAnsi="Arial Unicode MS" w:eastAsia="Arial Unicode MS"/>
          <w:sz w:val="32"/>
          <w:szCs w:val="32"/>
          <w:u w:val="single"/>
          <w:lang w:val="en-US" w:eastAsia="zh-CN"/>
        </w:rPr>
        <w:t xml:space="preserve">  </w:t>
      </w:r>
      <w:r>
        <w:rPr>
          <w:rFonts w:hint="eastAsia" w:ascii="Arial Unicode MS" w:hAnsi="Arial Unicode MS" w:eastAsia="Arial Unicode MS"/>
          <w:sz w:val="32"/>
          <w:szCs w:val="32"/>
          <w:u w:val="single"/>
        </w:rPr>
        <w:t xml:space="preserve">  </w:t>
      </w:r>
    </w:p>
    <w:p w14:paraId="6F5C3993">
      <w:pPr>
        <w:keepNext w:val="0"/>
        <w:keepLines w:val="0"/>
        <w:pageBreakBefore w:val="0"/>
        <w:widowControl w:val="0"/>
        <w:kinsoku/>
        <w:wordWrap/>
        <w:overflowPunct/>
        <w:topLinePunct w:val="0"/>
        <w:autoSpaceDE/>
        <w:autoSpaceDN/>
        <w:bidi w:val="0"/>
        <w:adjustRightInd/>
        <w:snapToGrid/>
        <w:spacing w:line="500" w:lineRule="exact"/>
        <w:ind w:firstLine="1440" w:firstLineChars="450"/>
        <w:textAlignment w:val="auto"/>
        <w:rPr>
          <w:rFonts w:ascii="Arial Unicode MS" w:hAnsi="Arial Unicode MS" w:eastAsia="Arial Unicode MS"/>
          <w:sz w:val="32"/>
          <w:szCs w:val="32"/>
          <w:u w:val="single"/>
        </w:rPr>
      </w:pPr>
      <w:r>
        <w:rPr>
          <w:rFonts w:hint="eastAsia" w:ascii="Arial Unicode MS" w:hAnsi="Arial Unicode MS" w:eastAsia="Arial Unicode MS"/>
          <w:sz w:val="32"/>
          <w:szCs w:val="32"/>
          <w:lang w:eastAsia="zh-CN"/>
        </w:rPr>
        <w:t>需求</w:t>
      </w:r>
      <w:r>
        <w:rPr>
          <w:rFonts w:hint="eastAsia" w:ascii="Arial Unicode MS" w:hAnsi="Arial Unicode MS" w:eastAsia="Arial Unicode MS"/>
          <w:sz w:val="32"/>
          <w:szCs w:val="32"/>
        </w:rPr>
        <w:t>单位：</w:t>
      </w:r>
      <w:r>
        <w:rPr>
          <w:rFonts w:hint="eastAsia" w:ascii="Arial Unicode MS" w:hAnsi="Arial Unicode MS" w:eastAsia="Arial Unicode MS"/>
          <w:sz w:val="32"/>
          <w:szCs w:val="32"/>
          <w:u w:val="single"/>
        </w:rPr>
        <w:t xml:space="preserve">                  </w:t>
      </w:r>
      <w:r>
        <w:rPr>
          <w:rFonts w:hint="eastAsia" w:ascii="Arial Unicode MS" w:hAnsi="Arial Unicode MS" w:eastAsia="Arial Unicode MS"/>
          <w:sz w:val="32"/>
          <w:szCs w:val="32"/>
          <w:u w:val="single"/>
          <w:lang w:val="en-US" w:eastAsia="zh-CN"/>
        </w:rPr>
        <w:t xml:space="preserve">  </w:t>
      </w:r>
      <w:r>
        <w:rPr>
          <w:rFonts w:hint="eastAsia" w:ascii="Arial Unicode MS" w:hAnsi="Arial Unicode MS" w:eastAsia="Arial Unicode MS"/>
          <w:sz w:val="32"/>
          <w:szCs w:val="32"/>
          <w:u w:val="single"/>
        </w:rPr>
        <w:t xml:space="preserve">   </w:t>
      </w:r>
    </w:p>
    <w:p w14:paraId="2EB966C5">
      <w:pPr>
        <w:keepNext w:val="0"/>
        <w:keepLines w:val="0"/>
        <w:pageBreakBefore w:val="0"/>
        <w:widowControl w:val="0"/>
        <w:kinsoku/>
        <w:wordWrap/>
        <w:overflowPunct/>
        <w:topLinePunct w:val="0"/>
        <w:autoSpaceDE/>
        <w:autoSpaceDN/>
        <w:bidi w:val="0"/>
        <w:adjustRightInd/>
        <w:snapToGrid/>
        <w:spacing w:line="500" w:lineRule="exact"/>
        <w:ind w:firstLine="1440" w:firstLineChars="450"/>
        <w:textAlignment w:val="auto"/>
        <w:rPr>
          <w:rFonts w:ascii="Arial Unicode MS" w:hAnsi="Arial Unicode MS" w:eastAsia="Arial Unicode MS"/>
          <w:sz w:val="44"/>
          <w:szCs w:val="44"/>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Arial Unicode MS" w:hAnsi="Arial Unicode MS" w:eastAsia="Arial Unicode MS"/>
          <w:sz w:val="32"/>
          <w:szCs w:val="32"/>
        </w:rPr>
        <w:t>审查时间：</w:t>
      </w:r>
      <w:r>
        <w:rPr>
          <w:rFonts w:hint="eastAsia" w:ascii="Arial Unicode MS" w:hAnsi="Arial Unicode MS" w:eastAsia="Arial Unicode MS"/>
          <w:sz w:val="32"/>
          <w:szCs w:val="32"/>
          <w:u w:val="single"/>
        </w:rPr>
        <w:t xml:space="preserve">       </w:t>
      </w:r>
      <w:r>
        <w:rPr>
          <w:rFonts w:hint="eastAsia" w:ascii="Arial Unicode MS" w:hAnsi="Arial Unicode MS" w:eastAsia="Arial Unicode MS"/>
          <w:sz w:val="32"/>
          <w:szCs w:val="32"/>
          <w:u w:val="single"/>
          <w:lang w:eastAsia="zh-CN"/>
        </w:rPr>
        <w:t>年</w:t>
      </w:r>
      <w:r>
        <w:rPr>
          <w:rFonts w:hint="eastAsia" w:ascii="Arial Unicode MS" w:hAnsi="Arial Unicode MS" w:eastAsia="Arial Unicode MS"/>
          <w:sz w:val="32"/>
          <w:szCs w:val="32"/>
          <w:u w:val="single"/>
          <w:lang w:val="en-US" w:eastAsia="zh-CN"/>
        </w:rPr>
        <w:t xml:space="preserve">  </w:t>
      </w:r>
      <w:r>
        <w:rPr>
          <w:rFonts w:hint="eastAsia" w:ascii="Arial Unicode MS" w:hAnsi="Arial Unicode MS" w:eastAsia="Arial Unicode MS"/>
          <w:sz w:val="32"/>
          <w:szCs w:val="32"/>
          <w:u w:val="single"/>
          <w:lang w:eastAsia="zh-CN"/>
        </w:rPr>
        <w:t>月</w:t>
      </w:r>
      <w:r>
        <w:rPr>
          <w:rFonts w:hint="eastAsia" w:ascii="Arial Unicode MS" w:hAnsi="Arial Unicode MS" w:eastAsia="Arial Unicode MS"/>
          <w:sz w:val="32"/>
          <w:szCs w:val="32"/>
          <w:u w:val="single"/>
          <w:lang w:val="en-US" w:eastAsia="zh-CN"/>
        </w:rPr>
        <w:t xml:space="preserve">  </w:t>
      </w:r>
      <w:r>
        <w:rPr>
          <w:rFonts w:hint="eastAsia" w:ascii="Arial Unicode MS" w:hAnsi="Arial Unicode MS" w:eastAsia="Arial Unicode MS"/>
          <w:sz w:val="32"/>
          <w:szCs w:val="32"/>
          <w:u w:val="single"/>
          <w:lang w:eastAsia="zh-CN"/>
        </w:rPr>
        <w:t>日</w:t>
      </w:r>
      <w:r>
        <w:rPr>
          <w:rFonts w:hint="eastAsia" w:ascii="Arial Unicode MS" w:hAnsi="Arial Unicode MS" w:eastAsia="Arial Unicode MS"/>
          <w:sz w:val="32"/>
          <w:szCs w:val="32"/>
          <w:u w:val="single"/>
        </w:rPr>
        <w:t xml:space="preserve">      </w:t>
      </w:r>
    </w:p>
    <w:p w14:paraId="0A767B79">
      <w:pPr>
        <w:spacing w:line="500" w:lineRule="exact"/>
        <w:ind w:firstLine="640" w:firstLineChars="200"/>
        <w:jc w:val="left"/>
        <w:rPr>
          <w:rFonts w:hint="eastAsia" w:ascii="仿宋" w:hAnsi="仿宋" w:eastAsia="仿宋" w:cs="仿宋"/>
          <w:color w:val="auto"/>
          <w:szCs w:val="32"/>
        </w:rPr>
      </w:pP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开展采购活动的时间安排</w:t>
      </w:r>
    </w:p>
    <w:tbl>
      <w:tblPr>
        <w:tblStyle w:val="4"/>
        <w:tblW w:w="101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0"/>
        <w:gridCol w:w="1043"/>
        <w:gridCol w:w="2610"/>
        <w:gridCol w:w="1560"/>
        <w:gridCol w:w="1335"/>
        <w:gridCol w:w="1695"/>
        <w:gridCol w:w="1157"/>
      </w:tblGrid>
      <w:tr w14:paraId="5C5FD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0CD66CAE">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14:paraId="248C829B">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事  项</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14:paraId="77C1B017">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依  据</w:t>
            </w:r>
          </w:p>
        </w:tc>
        <w:tc>
          <w:tcPr>
            <w:tcW w:w="4590" w:type="dxa"/>
            <w:gridSpan w:val="3"/>
            <w:tcBorders>
              <w:top w:val="single" w:color="000000" w:sz="4" w:space="0"/>
              <w:left w:val="single" w:color="000000" w:sz="4" w:space="0"/>
              <w:bottom w:val="single" w:color="000000" w:sz="4" w:space="0"/>
              <w:right w:val="single" w:color="000000" w:sz="4" w:space="0"/>
            </w:tcBorders>
            <w:noWrap/>
            <w:vAlign w:val="center"/>
          </w:tcPr>
          <w:p w14:paraId="050B4DA1">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时   间   要   求</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47D90041">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本项目具体日期</w:t>
            </w:r>
          </w:p>
        </w:tc>
      </w:tr>
      <w:tr w14:paraId="6DD0B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jc w:val="center"/>
        </w:trPr>
        <w:tc>
          <w:tcPr>
            <w:tcW w:w="7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F57575D">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w:t>
            </w:r>
          </w:p>
        </w:tc>
        <w:tc>
          <w:tcPr>
            <w:tcW w:w="1043" w:type="dxa"/>
            <w:vMerge w:val="restart"/>
            <w:tcBorders>
              <w:top w:val="single" w:color="000000" w:sz="4" w:space="0"/>
              <w:left w:val="single" w:color="000000" w:sz="4" w:space="0"/>
              <w:bottom w:val="single" w:color="000000" w:sz="4" w:space="0"/>
              <w:right w:val="single" w:color="000000" w:sz="4" w:space="0"/>
            </w:tcBorders>
            <w:noWrap w:val="0"/>
            <w:vAlign w:val="center"/>
          </w:tcPr>
          <w:p w14:paraId="4187E015">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意向公开</w:t>
            </w:r>
          </w:p>
        </w:tc>
        <w:tc>
          <w:tcPr>
            <w:tcW w:w="2610" w:type="dxa"/>
            <w:vMerge w:val="restart"/>
            <w:tcBorders>
              <w:top w:val="single" w:color="000000" w:sz="4" w:space="0"/>
              <w:left w:val="single" w:color="000000" w:sz="4" w:space="0"/>
              <w:bottom w:val="single" w:color="000000" w:sz="4" w:space="0"/>
              <w:right w:val="single" w:color="000000" w:sz="4" w:space="0"/>
            </w:tcBorders>
            <w:noWrap w:val="0"/>
            <w:vAlign w:val="center"/>
          </w:tcPr>
          <w:p w14:paraId="5B3C75C6">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1.财库[2020]10号文</w:t>
            </w:r>
          </w:p>
        </w:tc>
        <w:tc>
          <w:tcPr>
            <w:tcW w:w="1560" w:type="dxa"/>
            <w:vMerge w:val="restart"/>
            <w:tcBorders>
              <w:top w:val="single" w:color="000000" w:sz="4" w:space="0"/>
              <w:left w:val="single" w:color="000000" w:sz="4" w:space="0"/>
              <w:bottom w:val="single" w:color="000000" w:sz="4" w:space="0"/>
              <w:right w:val="single" w:color="000000" w:sz="4" w:space="0"/>
            </w:tcBorders>
            <w:noWrap w:val="0"/>
            <w:vAlign w:val="center"/>
          </w:tcPr>
          <w:p w14:paraId="6AEEB935">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200万元及以上30个自然日</w:t>
            </w:r>
          </w:p>
        </w:tc>
        <w:tc>
          <w:tcPr>
            <w:tcW w:w="3030" w:type="dxa"/>
            <w:gridSpan w:val="2"/>
            <w:tcBorders>
              <w:top w:val="single" w:color="000000" w:sz="4" w:space="0"/>
              <w:left w:val="single" w:color="000000" w:sz="4" w:space="0"/>
              <w:bottom w:val="single" w:color="000000" w:sz="4" w:space="0"/>
              <w:right w:val="single" w:color="000000" w:sz="4" w:space="0"/>
            </w:tcBorders>
            <w:noWrap w:val="0"/>
            <w:vAlign w:val="center"/>
          </w:tcPr>
          <w:p w14:paraId="2CC5262B">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定期：学校预算大本确定后批量进行，财政一体化系统（收到采购意向公开申请表公开）</w:t>
            </w:r>
          </w:p>
        </w:tc>
        <w:tc>
          <w:tcPr>
            <w:tcW w:w="1157" w:type="dxa"/>
            <w:vMerge w:val="restart"/>
            <w:tcBorders>
              <w:top w:val="single" w:color="000000" w:sz="4" w:space="0"/>
              <w:left w:val="single" w:color="000000" w:sz="4" w:space="0"/>
              <w:right w:val="single" w:color="000000" w:sz="4" w:space="0"/>
            </w:tcBorders>
            <w:noWrap w:val="0"/>
            <w:vAlign w:val="center"/>
          </w:tcPr>
          <w:p w14:paraId="11F786D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p>
        </w:tc>
      </w:tr>
      <w:tr w14:paraId="5CE4D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E4DDC5">
            <w:pPr>
              <w:jc w:val="center"/>
              <w:rPr>
                <w:rFonts w:hint="eastAsia" w:ascii="仿宋" w:hAnsi="仿宋" w:eastAsia="仿宋" w:cs="仿宋"/>
                <w:b/>
                <w:bCs/>
                <w:i w:val="0"/>
                <w:iCs w:val="0"/>
                <w:color w:val="auto"/>
                <w:sz w:val="20"/>
                <w:szCs w:val="20"/>
                <w:u w:val="none"/>
              </w:rPr>
            </w:pPr>
          </w:p>
        </w:tc>
        <w:tc>
          <w:tcPr>
            <w:tcW w:w="10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D81CB7">
            <w:pPr>
              <w:jc w:val="center"/>
              <w:rPr>
                <w:rFonts w:hint="eastAsia" w:ascii="仿宋" w:hAnsi="仿宋" w:eastAsia="仿宋" w:cs="仿宋"/>
                <w:b/>
                <w:bCs/>
                <w:i w:val="0"/>
                <w:iCs w:val="0"/>
                <w:color w:val="auto"/>
                <w:sz w:val="20"/>
                <w:szCs w:val="20"/>
                <w:u w:val="none"/>
              </w:rPr>
            </w:pPr>
          </w:p>
        </w:tc>
        <w:tc>
          <w:tcPr>
            <w:tcW w:w="26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A21B45">
            <w:pPr>
              <w:jc w:val="center"/>
              <w:rPr>
                <w:rFonts w:hint="eastAsia" w:ascii="仿宋" w:hAnsi="仿宋" w:eastAsia="仿宋" w:cs="仿宋"/>
                <w:i w:val="0"/>
                <w:iCs w:val="0"/>
                <w:color w:val="auto"/>
                <w:sz w:val="20"/>
                <w:szCs w:val="20"/>
                <w:u w:val="none"/>
              </w:rPr>
            </w:pPr>
          </w:p>
        </w:tc>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AC856F">
            <w:pPr>
              <w:jc w:val="left"/>
              <w:rPr>
                <w:rFonts w:hint="eastAsia" w:ascii="仿宋" w:hAnsi="仿宋" w:eastAsia="仿宋" w:cs="仿宋"/>
                <w:i w:val="0"/>
                <w:iCs w:val="0"/>
                <w:color w:val="auto"/>
                <w:sz w:val="20"/>
                <w:szCs w:val="20"/>
                <w:u w:val="none"/>
              </w:rPr>
            </w:pPr>
          </w:p>
        </w:tc>
        <w:tc>
          <w:tcPr>
            <w:tcW w:w="3030" w:type="dxa"/>
            <w:gridSpan w:val="2"/>
            <w:tcBorders>
              <w:top w:val="single" w:color="000000" w:sz="4" w:space="0"/>
              <w:left w:val="single" w:color="000000" w:sz="4" w:space="0"/>
              <w:bottom w:val="single" w:color="000000" w:sz="4" w:space="0"/>
              <w:right w:val="single" w:color="000000" w:sz="4" w:space="0"/>
            </w:tcBorders>
            <w:noWrap w:val="0"/>
            <w:vAlign w:val="center"/>
          </w:tcPr>
          <w:p w14:paraId="4905A16D">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不定期：单独项目单独公开</w:t>
            </w:r>
          </w:p>
        </w:tc>
        <w:tc>
          <w:tcPr>
            <w:tcW w:w="1157" w:type="dxa"/>
            <w:vMerge w:val="continue"/>
            <w:tcBorders>
              <w:left w:val="single" w:color="000000" w:sz="4" w:space="0"/>
              <w:bottom w:val="single" w:color="000000" w:sz="4" w:space="0"/>
              <w:right w:val="single" w:color="000000" w:sz="4" w:space="0"/>
            </w:tcBorders>
            <w:noWrap w:val="0"/>
            <w:vAlign w:val="center"/>
          </w:tcPr>
          <w:p w14:paraId="53FB0C9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p>
        </w:tc>
      </w:tr>
      <w:tr w14:paraId="562BF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jc w:val="center"/>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7A90B0C">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2</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14:paraId="50494792">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预算评审</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14:paraId="51C9850D">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1.琼财评[2023]714号文</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54B9173">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50万元以上</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2B5E2611">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Style w:val="6"/>
                <w:color w:val="auto"/>
                <w:sz w:val="20"/>
                <w:szCs w:val="20"/>
                <w:lang w:val="en-US" w:eastAsia="zh-CN" w:bidi="ar"/>
              </w:rPr>
              <w:t>基建、信息化、专用设备类</w:t>
            </w:r>
            <w:r>
              <w:rPr>
                <w:rStyle w:val="7"/>
                <w:b w:val="0"/>
                <w:bCs w:val="0"/>
                <w:color w:val="auto"/>
                <w:sz w:val="20"/>
                <w:szCs w:val="20"/>
                <w:lang w:val="en-US" w:eastAsia="zh-CN" w:bidi="ar"/>
              </w:rPr>
              <w:t>（</w:t>
            </w:r>
            <w:r>
              <w:rPr>
                <w:rStyle w:val="8"/>
                <w:b w:val="0"/>
                <w:bCs w:val="0"/>
                <w:color w:val="auto"/>
                <w:sz w:val="20"/>
                <w:szCs w:val="20"/>
                <w:lang w:val="en-US" w:eastAsia="zh-CN" w:bidi="ar"/>
              </w:rPr>
              <w:t>非资金下达后的设备购置）</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64FC50F6">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根据部门预算编报要求，由需求单位商财务、审计等部门确定</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50904E0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p>
        </w:tc>
      </w:tr>
      <w:tr w14:paraId="1BA0E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DD0175E">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3</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14:paraId="588E1B83">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需求调查</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14:paraId="533C9E5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1.财库[2021]22号文</w:t>
            </w:r>
          </w:p>
          <w:p w14:paraId="3347A6A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2.琼财采[2022]353号文</w:t>
            </w:r>
          </w:p>
          <w:p w14:paraId="5BED6C11">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3.热海大办[2023]91-93号文（细则18条）</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CD6CD2D">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200万元及以上</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11AC1724">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不少于三个同类历史成交信息</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2072E3A8">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时间由需求单位确定</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1D1037D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p>
        </w:tc>
      </w:tr>
      <w:tr w14:paraId="14579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65DBB1D">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4</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14:paraId="3FF16D5D">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资金保障</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14:paraId="720F568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1.《政府采购法》及实施条例</w:t>
            </w:r>
          </w:p>
          <w:p w14:paraId="17DE4E14">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2.财政一体化系统要求</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7CFD8D5">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200万元及以上</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51A1D0C">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财政一体化系统</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31F686B6">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由财务、省教育厅、财政厅审批时间而定</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455DC98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p>
        </w:tc>
      </w:tr>
      <w:tr w14:paraId="1A5A1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00" w:type="dxa"/>
            <w:vMerge w:val="restart"/>
            <w:tcBorders>
              <w:top w:val="single" w:color="000000" w:sz="4" w:space="0"/>
              <w:left w:val="single" w:color="000000" w:sz="4" w:space="0"/>
              <w:bottom w:val="single" w:color="000000" w:sz="4" w:space="0"/>
              <w:right w:val="single" w:color="000000" w:sz="4" w:space="0"/>
            </w:tcBorders>
            <w:noWrap w:val="0"/>
            <w:vAlign w:val="center"/>
          </w:tcPr>
          <w:p w14:paraId="57AEE056">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5</w:t>
            </w:r>
          </w:p>
        </w:tc>
        <w:tc>
          <w:tcPr>
            <w:tcW w:w="1043" w:type="dxa"/>
            <w:vMerge w:val="restart"/>
            <w:tcBorders>
              <w:top w:val="single" w:color="000000" w:sz="4" w:space="0"/>
              <w:left w:val="single" w:color="000000" w:sz="4" w:space="0"/>
              <w:bottom w:val="single" w:color="000000" w:sz="4" w:space="0"/>
              <w:right w:val="single" w:color="000000" w:sz="4" w:space="0"/>
            </w:tcBorders>
            <w:noWrap w:val="0"/>
            <w:vAlign w:val="center"/>
          </w:tcPr>
          <w:p w14:paraId="7C36F8FB">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需求公开</w:t>
            </w:r>
          </w:p>
        </w:tc>
        <w:tc>
          <w:tcPr>
            <w:tcW w:w="2610" w:type="dxa"/>
            <w:vMerge w:val="restart"/>
            <w:tcBorders>
              <w:top w:val="single" w:color="000000" w:sz="4" w:space="0"/>
              <w:left w:val="single" w:color="000000" w:sz="4" w:space="0"/>
              <w:bottom w:val="single" w:color="000000" w:sz="4" w:space="0"/>
              <w:right w:val="single" w:color="000000" w:sz="4" w:space="0"/>
            </w:tcBorders>
            <w:noWrap w:val="0"/>
            <w:vAlign w:val="center"/>
          </w:tcPr>
          <w:p w14:paraId="1E84998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1.《政府采购法》及实施条例</w:t>
            </w:r>
          </w:p>
          <w:p w14:paraId="7F01F11F">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2.财政一体化系统要求</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E965885">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200万元及以上 5个工作日</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6C508AC">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财政一体化系统</w:t>
            </w:r>
          </w:p>
        </w:tc>
        <w:tc>
          <w:tcPr>
            <w:tcW w:w="1695" w:type="dxa"/>
            <w:vMerge w:val="restart"/>
            <w:tcBorders>
              <w:top w:val="single" w:color="000000" w:sz="4" w:space="0"/>
              <w:left w:val="single" w:color="000000" w:sz="4" w:space="0"/>
              <w:bottom w:val="single" w:color="000000" w:sz="4" w:space="0"/>
              <w:right w:val="single" w:color="000000" w:sz="4" w:space="0"/>
            </w:tcBorders>
            <w:noWrap w:val="0"/>
            <w:vAlign w:val="center"/>
          </w:tcPr>
          <w:p w14:paraId="17CF0F6C">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收到集中采购申请表后做需求公开</w:t>
            </w:r>
          </w:p>
        </w:tc>
        <w:tc>
          <w:tcPr>
            <w:tcW w:w="1157" w:type="dxa"/>
            <w:vMerge w:val="restart"/>
            <w:tcBorders>
              <w:top w:val="single" w:color="000000" w:sz="4" w:space="0"/>
              <w:left w:val="single" w:color="000000" w:sz="4" w:space="0"/>
              <w:right w:val="single" w:color="000000" w:sz="4" w:space="0"/>
            </w:tcBorders>
            <w:noWrap w:val="0"/>
            <w:vAlign w:val="center"/>
          </w:tcPr>
          <w:p w14:paraId="4AB3283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p>
        </w:tc>
      </w:tr>
      <w:tr w14:paraId="77F69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832DE5">
            <w:pPr>
              <w:jc w:val="center"/>
              <w:rPr>
                <w:rFonts w:hint="eastAsia" w:ascii="仿宋" w:hAnsi="仿宋" w:eastAsia="仿宋" w:cs="仿宋"/>
                <w:b/>
                <w:bCs/>
                <w:i w:val="0"/>
                <w:iCs w:val="0"/>
                <w:color w:val="auto"/>
                <w:sz w:val="20"/>
                <w:szCs w:val="20"/>
                <w:u w:val="none"/>
              </w:rPr>
            </w:pPr>
          </w:p>
        </w:tc>
        <w:tc>
          <w:tcPr>
            <w:tcW w:w="10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EE97CC">
            <w:pPr>
              <w:jc w:val="center"/>
              <w:rPr>
                <w:rFonts w:hint="eastAsia" w:ascii="仿宋" w:hAnsi="仿宋" w:eastAsia="仿宋" w:cs="仿宋"/>
                <w:b/>
                <w:bCs/>
                <w:i w:val="0"/>
                <w:iCs w:val="0"/>
                <w:color w:val="auto"/>
                <w:sz w:val="20"/>
                <w:szCs w:val="20"/>
                <w:u w:val="none"/>
              </w:rPr>
            </w:pPr>
          </w:p>
        </w:tc>
        <w:tc>
          <w:tcPr>
            <w:tcW w:w="26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3295BA">
            <w:pPr>
              <w:jc w:val="left"/>
              <w:rPr>
                <w:rFonts w:hint="eastAsia" w:ascii="仿宋" w:hAnsi="仿宋" w:eastAsia="仿宋" w:cs="仿宋"/>
                <w:i w:val="0"/>
                <w:iCs w:val="0"/>
                <w:color w:val="auto"/>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B36B4DE">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200万元以下  </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2E58D01">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校园网、公众号</w:t>
            </w: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3FE3DA">
            <w:pPr>
              <w:jc w:val="center"/>
              <w:rPr>
                <w:rFonts w:hint="eastAsia" w:ascii="仿宋" w:hAnsi="仿宋" w:eastAsia="仿宋" w:cs="仿宋"/>
                <w:i w:val="0"/>
                <w:iCs w:val="0"/>
                <w:color w:val="auto"/>
                <w:sz w:val="20"/>
                <w:szCs w:val="20"/>
                <w:u w:val="none"/>
              </w:rPr>
            </w:pPr>
          </w:p>
        </w:tc>
        <w:tc>
          <w:tcPr>
            <w:tcW w:w="1157" w:type="dxa"/>
            <w:vMerge w:val="continue"/>
            <w:tcBorders>
              <w:left w:val="single" w:color="000000" w:sz="4" w:space="0"/>
              <w:bottom w:val="single" w:color="000000" w:sz="4" w:space="0"/>
              <w:right w:val="single" w:color="000000" w:sz="4" w:space="0"/>
            </w:tcBorders>
            <w:noWrap w:val="0"/>
            <w:vAlign w:val="center"/>
          </w:tcPr>
          <w:p w14:paraId="1218097B">
            <w:pPr>
              <w:jc w:val="center"/>
              <w:rPr>
                <w:rFonts w:hint="eastAsia" w:ascii="仿宋" w:hAnsi="仿宋" w:eastAsia="仿宋" w:cs="仿宋"/>
                <w:i w:val="0"/>
                <w:iCs w:val="0"/>
                <w:color w:val="auto"/>
                <w:sz w:val="20"/>
                <w:szCs w:val="20"/>
                <w:u w:val="none"/>
              </w:rPr>
            </w:pPr>
          </w:p>
        </w:tc>
      </w:tr>
      <w:tr w14:paraId="370A0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1496C7B">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6</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14:paraId="2BF1A1A8">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需求确定</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14:paraId="1AFA087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1.财库[2020]46号文</w:t>
            </w:r>
          </w:p>
          <w:p w14:paraId="642D369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2.琼财采[2020]578号文</w:t>
            </w:r>
          </w:p>
          <w:p w14:paraId="17C9D42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3.琼财采[2021]311号文</w:t>
            </w:r>
          </w:p>
          <w:p w14:paraId="1E681F1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4.琼财采[2022]353号文</w:t>
            </w:r>
          </w:p>
          <w:p w14:paraId="35E3462A">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5.热海大办[2023]91-93号文</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5D71447">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20万元及以上</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1F40E2B7">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需求清单至少满足三个品牌（单一来源除外）</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3F79A5AD">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时间由需求单位确定</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5233A378">
            <w:pPr>
              <w:jc w:val="center"/>
              <w:rPr>
                <w:rFonts w:hint="eastAsia" w:ascii="仿宋" w:hAnsi="仿宋" w:eastAsia="仿宋" w:cs="仿宋"/>
                <w:i w:val="0"/>
                <w:iCs w:val="0"/>
                <w:color w:val="auto"/>
                <w:sz w:val="20"/>
                <w:szCs w:val="20"/>
                <w:u w:val="none"/>
              </w:rPr>
            </w:pPr>
          </w:p>
        </w:tc>
      </w:tr>
      <w:tr w14:paraId="57246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jc w:val="center"/>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2BB21C38">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7</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14:paraId="3D7C79E3">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合同审批</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14:paraId="4DE9C13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1.琼财采[2022]353号文</w:t>
            </w:r>
          </w:p>
          <w:p w14:paraId="00A2D493">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2.热海大办[2023]91-93号文</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48985EB">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20万元及以上</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3CA538A6">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1.财务审付款方式等2.国资审验收等3.法核把关</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38F1D55">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时间由需求单位、财务处、国资处、法核确定（法核一般需六个自然日）</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2FF6E404">
            <w:pPr>
              <w:jc w:val="center"/>
              <w:rPr>
                <w:rFonts w:hint="eastAsia" w:ascii="仿宋" w:hAnsi="仿宋" w:eastAsia="仿宋" w:cs="仿宋"/>
                <w:i w:val="0"/>
                <w:iCs w:val="0"/>
                <w:color w:val="auto"/>
                <w:sz w:val="20"/>
                <w:szCs w:val="20"/>
                <w:u w:val="none"/>
              </w:rPr>
            </w:pPr>
          </w:p>
        </w:tc>
      </w:tr>
      <w:tr w14:paraId="2D733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59F1712C">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8</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14:paraId="4BC8F1CF">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评分标准</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14:paraId="4680AF6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1.《政府采购法》及其条例</w:t>
            </w:r>
          </w:p>
          <w:p w14:paraId="2FC5265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2.《招投标法》及其条例</w:t>
            </w:r>
          </w:p>
          <w:p w14:paraId="1BFD6DE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3.琼财采[2021]311号文</w:t>
            </w:r>
          </w:p>
          <w:p w14:paraId="556B66E3">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4.热海大办[2023]91-93号文</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2FD9816">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20万元及以上</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3CF35268">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要求1.规范化2.标准化</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99E3536">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时间由需求单位和采购中心共同确定</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725AA94D">
            <w:pPr>
              <w:jc w:val="center"/>
              <w:rPr>
                <w:rFonts w:hint="eastAsia" w:ascii="仿宋" w:hAnsi="仿宋" w:eastAsia="仿宋" w:cs="仿宋"/>
                <w:i w:val="0"/>
                <w:iCs w:val="0"/>
                <w:color w:val="auto"/>
                <w:sz w:val="20"/>
                <w:szCs w:val="20"/>
                <w:u w:val="none"/>
              </w:rPr>
            </w:pPr>
          </w:p>
        </w:tc>
      </w:tr>
      <w:tr w14:paraId="45615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26424372">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9</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14:paraId="3DD08595">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实施计划书</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14:paraId="6A0C2C4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1.琼财采[2022]353号文</w:t>
            </w:r>
          </w:p>
          <w:p w14:paraId="47EE8FF8">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2.热海大办[2023]91-93号文</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F70D433">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20万元及以上</w:t>
            </w:r>
          </w:p>
        </w:tc>
        <w:tc>
          <w:tcPr>
            <w:tcW w:w="3030" w:type="dxa"/>
            <w:gridSpan w:val="2"/>
            <w:tcBorders>
              <w:top w:val="single" w:color="000000" w:sz="4" w:space="0"/>
              <w:left w:val="single" w:color="000000" w:sz="4" w:space="0"/>
              <w:bottom w:val="single" w:color="000000" w:sz="4" w:space="0"/>
              <w:right w:val="single" w:color="000000" w:sz="4" w:space="0"/>
            </w:tcBorders>
            <w:noWrap w:val="0"/>
            <w:vAlign w:val="center"/>
          </w:tcPr>
          <w:p w14:paraId="341CCE09">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涉及合同订立和管理安排（履约验收方案风险管控措施等）时间由需求单位确定（200万以下使用简化版）</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7970E15A">
            <w:pPr>
              <w:jc w:val="center"/>
              <w:rPr>
                <w:rFonts w:hint="eastAsia" w:ascii="仿宋" w:hAnsi="仿宋" w:eastAsia="仿宋" w:cs="仿宋"/>
                <w:i w:val="0"/>
                <w:iCs w:val="0"/>
                <w:color w:val="auto"/>
                <w:sz w:val="20"/>
                <w:szCs w:val="20"/>
                <w:u w:val="none"/>
              </w:rPr>
            </w:pPr>
          </w:p>
        </w:tc>
      </w:tr>
      <w:tr w14:paraId="39C64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110FE863">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10</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14:paraId="004274A2">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一般性审查</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14:paraId="65B1E17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1.《政府采购法》及其条例</w:t>
            </w:r>
          </w:p>
          <w:p w14:paraId="3B1B70C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2.《招投标法》及其条例</w:t>
            </w:r>
          </w:p>
          <w:p w14:paraId="1D8FE9D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3.琼财采[2021]311号文</w:t>
            </w:r>
          </w:p>
          <w:p w14:paraId="73665275">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4.热海大办[2023]91-93号文</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7C89673">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20万元及以上</w:t>
            </w:r>
          </w:p>
        </w:tc>
        <w:tc>
          <w:tcPr>
            <w:tcW w:w="3030" w:type="dxa"/>
            <w:gridSpan w:val="2"/>
            <w:tcBorders>
              <w:top w:val="single" w:color="000000" w:sz="4" w:space="0"/>
              <w:left w:val="single" w:color="000000" w:sz="4" w:space="0"/>
              <w:bottom w:val="single" w:color="000000" w:sz="4" w:space="0"/>
              <w:right w:val="single" w:color="000000" w:sz="4" w:space="0"/>
            </w:tcBorders>
            <w:noWrap w:val="0"/>
            <w:vAlign w:val="center"/>
          </w:tcPr>
          <w:p w14:paraId="30619742">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涉及需求单位、业务主管、财务、国资等部门，时间由需求单位确定（200万以下使用简化版）</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0A97A226">
            <w:pPr>
              <w:jc w:val="center"/>
              <w:rPr>
                <w:rFonts w:hint="eastAsia" w:ascii="仿宋" w:hAnsi="仿宋" w:eastAsia="仿宋" w:cs="仿宋"/>
                <w:i w:val="0"/>
                <w:iCs w:val="0"/>
                <w:color w:val="auto"/>
                <w:sz w:val="20"/>
                <w:szCs w:val="20"/>
                <w:u w:val="none"/>
              </w:rPr>
            </w:pPr>
          </w:p>
        </w:tc>
      </w:tr>
      <w:tr w14:paraId="1704D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jc w:val="center"/>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25D6FFB">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11</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14:paraId="20CDF080">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重点性审查</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14:paraId="636A4E0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1.《政府采购法》及其条例</w:t>
            </w:r>
          </w:p>
          <w:p w14:paraId="4598DA4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2.《招投标法》及其条例</w:t>
            </w:r>
          </w:p>
          <w:p w14:paraId="0B76C9A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3.琼财采[2021]311号文</w:t>
            </w:r>
          </w:p>
          <w:p w14:paraId="49A3487A">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4.热海大办[2023]91-93号文</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91C9376">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200万元及以上1个工作日</w:t>
            </w:r>
          </w:p>
        </w:tc>
        <w:tc>
          <w:tcPr>
            <w:tcW w:w="3030" w:type="dxa"/>
            <w:gridSpan w:val="2"/>
            <w:tcBorders>
              <w:top w:val="single" w:color="000000" w:sz="4" w:space="0"/>
              <w:left w:val="single" w:color="000000" w:sz="4" w:space="0"/>
              <w:bottom w:val="single" w:color="000000" w:sz="4" w:space="0"/>
              <w:right w:val="single" w:color="000000" w:sz="4" w:space="0"/>
            </w:tcBorders>
            <w:noWrap w:val="0"/>
            <w:vAlign w:val="center"/>
          </w:tcPr>
          <w:p w14:paraId="09B7BCCE">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1000万元及以上货物和服务、3000万元的工程2个工作日</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48700425">
            <w:pPr>
              <w:jc w:val="center"/>
              <w:rPr>
                <w:rFonts w:hint="eastAsia" w:ascii="仿宋" w:hAnsi="仿宋" w:eastAsia="仿宋" w:cs="仿宋"/>
                <w:i w:val="0"/>
                <w:iCs w:val="0"/>
                <w:color w:val="auto"/>
                <w:sz w:val="20"/>
                <w:szCs w:val="20"/>
                <w:u w:val="none"/>
              </w:rPr>
            </w:pPr>
          </w:p>
        </w:tc>
      </w:tr>
      <w:tr w14:paraId="7545D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jc w:val="center"/>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2B69B4D">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12</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14:paraId="416587D3">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编制招标文件</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14:paraId="5F92038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1.《政府采购法》及其条例</w:t>
            </w:r>
          </w:p>
          <w:p w14:paraId="40754EB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2.《招投标法》及其条例</w:t>
            </w:r>
          </w:p>
          <w:p w14:paraId="38039DB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3.琼财采[2021]311号文</w:t>
            </w:r>
          </w:p>
          <w:p w14:paraId="6E7AAC0F">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4.热海大办[2023]91-93号文</w:t>
            </w:r>
          </w:p>
        </w:tc>
        <w:tc>
          <w:tcPr>
            <w:tcW w:w="4590" w:type="dxa"/>
            <w:gridSpan w:val="3"/>
            <w:tcBorders>
              <w:top w:val="single" w:color="000000" w:sz="4" w:space="0"/>
              <w:left w:val="single" w:color="000000" w:sz="4" w:space="0"/>
              <w:bottom w:val="single" w:color="000000" w:sz="4" w:space="0"/>
              <w:right w:val="single" w:color="000000" w:sz="4" w:space="0"/>
            </w:tcBorders>
            <w:noWrap w:val="0"/>
            <w:vAlign w:val="center"/>
          </w:tcPr>
          <w:p w14:paraId="2492A6A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20万元及以上2个工作日</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42180ADF">
            <w:pPr>
              <w:jc w:val="center"/>
              <w:rPr>
                <w:rFonts w:hint="eastAsia" w:ascii="仿宋" w:hAnsi="仿宋" w:eastAsia="仿宋" w:cs="仿宋"/>
                <w:i w:val="0"/>
                <w:iCs w:val="0"/>
                <w:color w:val="auto"/>
                <w:sz w:val="20"/>
                <w:szCs w:val="20"/>
                <w:u w:val="none"/>
              </w:rPr>
            </w:pPr>
          </w:p>
        </w:tc>
      </w:tr>
      <w:tr w14:paraId="7894F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01C9ABB9">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13</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14:paraId="5287E982">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审核招标文件</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14:paraId="413BA36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1.《政府采购法》及其条例</w:t>
            </w:r>
          </w:p>
          <w:p w14:paraId="1304F68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2.《招投标法》及其条例</w:t>
            </w:r>
          </w:p>
          <w:p w14:paraId="5B24DDA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3.琼财采[2021]311号文</w:t>
            </w:r>
          </w:p>
          <w:p w14:paraId="19085627">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4.热海大办[2023]91-93号文</w:t>
            </w:r>
          </w:p>
        </w:tc>
        <w:tc>
          <w:tcPr>
            <w:tcW w:w="4590" w:type="dxa"/>
            <w:gridSpan w:val="3"/>
            <w:tcBorders>
              <w:top w:val="single" w:color="000000" w:sz="4" w:space="0"/>
              <w:left w:val="single" w:color="000000" w:sz="4" w:space="0"/>
              <w:bottom w:val="single" w:color="000000" w:sz="4" w:space="0"/>
              <w:right w:val="single" w:color="000000" w:sz="4" w:space="0"/>
            </w:tcBorders>
            <w:noWrap w:val="0"/>
            <w:vAlign w:val="center"/>
          </w:tcPr>
          <w:p w14:paraId="6E6005B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20万元及以上1个工作日</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461BAB14">
            <w:pPr>
              <w:jc w:val="center"/>
              <w:rPr>
                <w:rFonts w:hint="eastAsia" w:ascii="仿宋" w:hAnsi="仿宋" w:eastAsia="仿宋" w:cs="仿宋"/>
                <w:i w:val="0"/>
                <w:iCs w:val="0"/>
                <w:color w:val="auto"/>
                <w:sz w:val="20"/>
                <w:szCs w:val="20"/>
                <w:u w:val="none"/>
              </w:rPr>
            </w:pPr>
          </w:p>
        </w:tc>
      </w:tr>
      <w:tr w14:paraId="0DDF9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EB08955">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14</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14:paraId="14B3174D">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招标文件评审</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14:paraId="19C626D0">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热海大办[2023]91-93号文</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51BD987">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20万元及以上</w:t>
            </w:r>
          </w:p>
        </w:tc>
        <w:tc>
          <w:tcPr>
            <w:tcW w:w="3030" w:type="dxa"/>
            <w:gridSpan w:val="2"/>
            <w:tcBorders>
              <w:top w:val="single" w:color="000000" w:sz="4" w:space="0"/>
              <w:left w:val="single" w:color="000000" w:sz="4" w:space="0"/>
              <w:bottom w:val="single" w:color="000000" w:sz="4" w:space="0"/>
              <w:right w:val="single" w:color="000000" w:sz="4" w:space="0"/>
            </w:tcBorders>
            <w:noWrap w:val="0"/>
            <w:vAlign w:val="center"/>
          </w:tcPr>
          <w:p w14:paraId="211AF6FA">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时间由国资处确定（暂估两个工作日）</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502CCF46">
            <w:pPr>
              <w:jc w:val="center"/>
              <w:rPr>
                <w:rFonts w:hint="eastAsia" w:ascii="仿宋" w:hAnsi="仿宋" w:eastAsia="仿宋" w:cs="仿宋"/>
                <w:i w:val="0"/>
                <w:iCs w:val="0"/>
                <w:color w:val="auto"/>
                <w:sz w:val="20"/>
                <w:szCs w:val="20"/>
                <w:u w:val="none"/>
              </w:rPr>
            </w:pPr>
          </w:p>
        </w:tc>
      </w:tr>
      <w:tr w14:paraId="5D126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00" w:type="dxa"/>
            <w:vMerge w:val="restart"/>
            <w:tcBorders>
              <w:top w:val="single" w:color="000000" w:sz="4" w:space="0"/>
              <w:left w:val="single" w:color="000000" w:sz="4" w:space="0"/>
              <w:bottom w:val="single" w:color="000000" w:sz="4" w:space="0"/>
              <w:right w:val="single" w:color="000000" w:sz="4" w:space="0"/>
            </w:tcBorders>
            <w:noWrap w:val="0"/>
            <w:vAlign w:val="center"/>
          </w:tcPr>
          <w:p w14:paraId="07B31D52">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15</w:t>
            </w:r>
          </w:p>
        </w:tc>
        <w:tc>
          <w:tcPr>
            <w:tcW w:w="1043" w:type="dxa"/>
            <w:vMerge w:val="restart"/>
            <w:tcBorders>
              <w:top w:val="single" w:color="000000" w:sz="4" w:space="0"/>
              <w:left w:val="single" w:color="000000" w:sz="4" w:space="0"/>
              <w:bottom w:val="single" w:color="000000" w:sz="4" w:space="0"/>
              <w:right w:val="single" w:color="000000" w:sz="4" w:space="0"/>
            </w:tcBorders>
            <w:noWrap w:val="0"/>
            <w:vAlign w:val="center"/>
          </w:tcPr>
          <w:p w14:paraId="258CF48D">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挂网招标</w:t>
            </w:r>
          </w:p>
        </w:tc>
        <w:tc>
          <w:tcPr>
            <w:tcW w:w="2610" w:type="dxa"/>
            <w:vMerge w:val="restart"/>
            <w:tcBorders>
              <w:top w:val="single" w:color="000000" w:sz="4" w:space="0"/>
              <w:left w:val="single" w:color="000000" w:sz="4" w:space="0"/>
              <w:bottom w:val="single" w:color="000000" w:sz="4" w:space="0"/>
              <w:right w:val="single" w:color="000000" w:sz="4" w:space="0"/>
            </w:tcBorders>
            <w:noWrap w:val="0"/>
            <w:vAlign w:val="center"/>
          </w:tcPr>
          <w:p w14:paraId="389FCB2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1.《政府采购法》及其条例</w:t>
            </w:r>
          </w:p>
          <w:p w14:paraId="61AEE60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2.《招投标法》及其条例</w:t>
            </w:r>
          </w:p>
          <w:p w14:paraId="00B865E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3.琼财采[2021]311号文</w:t>
            </w:r>
          </w:p>
          <w:p w14:paraId="5E924C35">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4.热海大办[2023]91-93号文</w:t>
            </w:r>
          </w:p>
        </w:tc>
        <w:tc>
          <w:tcPr>
            <w:tcW w:w="15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14DAD4D">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采购领导小组会议通过，分管领导审批后挂网（会议筹备及报批需提前5个工作日）</w:t>
            </w:r>
          </w:p>
        </w:tc>
        <w:tc>
          <w:tcPr>
            <w:tcW w:w="3030" w:type="dxa"/>
            <w:gridSpan w:val="2"/>
            <w:tcBorders>
              <w:top w:val="single" w:color="000000" w:sz="4" w:space="0"/>
              <w:left w:val="single" w:color="000000" w:sz="4" w:space="0"/>
              <w:bottom w:val="single" w:color="000000" w:sz="4" w:space="0"/>
              <w:right w:val="single" w:color="000000" w:sz="4" w:space="0"/>
            </w:tcBorders>
            <w:noWrap w:val="0"/>
            <w:vAlign w:val="center"/>
          </w:tcPr>
          <w:p w14:paraId="4DA0E2F4">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①公开招标 20个自然日</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01E1253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p>
        </w:tc>
      </w:tr>
      <w:tr w14:paraId="68E7D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33F936">
            <w:pPr>
              <w:jc w:val="center"/>
              <w:rPr>
                <w:rFonts w:hint="eastAsia" w:ascii="仿宋" w:hAnsi="仿宋" w:eastAsia="仿宋" w:cs="仿宋"/>
                <w:b/>
                <w:bCs/>
                <w:i w:val="0"/>
                <w:iCs w:val="0"/>
                <w:color w:val="auto"/>
                <w:sz w:val="20"/>
                <w:szCs w:val="20"/>
                <w:u w:val="none"/>
              </w:rPr>
            </w:pPr>
          </w:p>
        </w:tc>
        <w:tc>
          <w:tcPr>
            <w:tcW w:w="10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B1366B">
            <w:pPr>
              <w:jc w:val="center"/>
              <w:rPr>
                <w:rFonts w:hint="eastAsia" w:ascii="仿宋" w:hAnsi="仿宋" w:eastAsia="仿宋" w:cs="仿宋"/>
                <w:b/>
                <w:bCs/>
                <w:i w:val="0"/>
                <w:iCs w:val="0"/>
                <w:color w:val="auto"/>
                <w:sz w:val="20"/>
                <w:szCs w:val="20"/>
                <w:u w:val="none"/>
              </w:rPr>
            </w:pPr>
          </w:p>
        </w:tc>
        <w:tc>
          <w:tcPr>
            <w:tcW w:w="26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E9548B">
            <w:pPr>
              <w:jc w:val="center"/>
              <w:rPr>
                <w:rFonts w:hint="eastAsia" w:ascii="仿宋" w:hAnsi="仿宋" w:eastAsia="仿宋" w:cs="仿宋"/>
                <w:i w:val="0"/>
                <w:iCs w:val="0"/>
                <w:color w:val="auto"/>
                <w:sz w:val="20"/>
                <w:szCs w:val="20"/>
                <w:u w:val="none"/>
              </w:rPr>
            </w:pPr>
          </w:p>
        </w:tc>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67ACD9">
            <w:pPr>
              <w:jc w:val="left"/>
              <w:rPr>
                <w:rFonts w:hint="eastAsia" w:ascii="仿宋" w:hAnsi="仿宋" w:eastAsia="仿宋" w:cs="仿宋"/>
                <w:i w:val="0"/>
                <w:iCs w:val="0"/>
                <w:color w:val="auto"/>
                <w:sz w:val="20"/>
                <w:szCs w:val="20"/>
                <w:u w:val="none"/>
              </w:rPr>
            </w:pPr>
          </w:p>
        </w:tc>
        <w:tc>
          <w:tcPr>
            <w:tcW w:w="3030" w:type="dxa"/>
            <w:gridSpan w:val="2"/>
            <w:tcBorders>
              <w:top w:val="single" w:color="000000" w:sz="4" w:space="0"/>
              <w:left w:val="single" w:color="000000" w:sz="4" w:space="0"/>
              <w:bottom w:val="single" w:color="000000" w:sz="4" w:space="0"/>
              <w:right w:val="single" w:color="000000" w:sz="4" w:space="0"/>
            </w:tcBorders>
            <w:noWrap w:val="0"/>
            <w:vAlign w:val="center"/>
          </w:tcPr>
          <w:p w14:paraId="01F2D87F">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②竞争性磋商 10个自然日</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03922AE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p>
        </w:tc>
      </w:tr>
      <w:tr w14:paraId="7515E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49BB08">
            <w:pPr>
              <w:jc w:val="center"/>
              <w:rPr>
                <w:rFonts w:hint="eastAsia" w:ascii="仿宋" w:hAnsi="仿宋" w:eastAsia="仿宋" w:cs="仿宋"/>
                <w:b/>
                <w:bCs/>
                <w:i w:val="0"/>
                <w:iCs w:val="0"/>
                <w:color w:val="auto"/>
                <w:sz w:val="20"/>
                <w:szCs w:val="20"/>
                <w:u w:val="none"/>
              </w:rPr>
            </w:pPr>
          </w:p>
        </w:tc>
        <w:tc>
          <w:tcPr>
            <w:tcW w:w="10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1E83A7">
            <w:pPr>
              <w:jc w:val="center"/>
              <w:rPr>
                <w:rFonts w:hint="eastAsia" w:ascii="仿宋" w:hAnsi="仿宋" w:eastAsia="仿宋" w:cs="仿宋"/>
                <w:b/>
                <w:bCs/>
                <w:i w:val="0"/>
                <w:iCs w:val="0"/>
                <w:color w:val="auto"/>
                <w:sz w:val="20"/>
                <w:szCs w:val="20"/>
                <w:u w:val="none"/>
              </w:rPr>
            </w:pPr>
          </w:p>
        </w:tc>
        <w:tc>
          <w:tcPr>
            <w:tcW w:w="26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3D624E">
            <w:pPr>
              <w:jc w:val="center"/>
              <w:rPr>
                <w:rFonts w:hint="eastAsia" w:ascii="仿宋" w:hAnsi="仿宋" w:eastAsia="仿宋" w:cs="仿宋"/>
                <w:i w:val="0"/>
                <w:iCs w:val="0"/>
                <w:color w:val="auto"/>
                <w:sz w:val="20"/>
                <w:szCs w:val="20"/>
                <w:u w:val="none"/>
              </w:rPr>
            </w:pPr>
          </w:p>
        </w:tc>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5F7305">
            <w:pPr>
              <w:jc w:val="left"/>
              <w:rPr>
                <w:rFonts w:hint="eastAsia" w:ascii="仿宋" w:hAnsi="仿宋" w:eastAsia="仿宋" w:cs="仿宋"/>
                <w:i w:val="0"/>
                <w:iCs w:val="0"/>
                <w:color w:val="auto"/>
                <w:sz w:val="20"/>
                <w:szCs w:val="20"/>
                <w:u w:val="none"/>
              </w:rPr>
            </w:pPr>
          </w:p>
        </w:tc>
        <w:tc>
          <w:tcPr>
            <w:tcW w:w="3030" w:type="dxa"/>
            <w:gridSpan w:val="2"/>
            <w:tcBorders>
              <w:top w:val="single" w:color="000000" w:sz="4" w:space="0"/>
              <w:left w:val="single" w:color="000000" w:sz="4" w:space="0"/>
              <w:bottom w:val="single" w:color="000000" w:sz="4" w:space="0"/>
              <w:right w:val="single" w:color="000000" w:sz="4" w:space="0"/>
            </w:tcBorders>
            <w:noWrap w:val="0"/>
            <w:vAlign w:val="center"/>
          </w:tcPr>
          <w:p w14:paraId="0162B7B7">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③询价 3个工作日</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4EB3C2A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p>
        </w:tc>
      </w:tr>
      <w:tr w14:paraId="262E0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D3167A">
            <w:pPr>
              <w:jc w:val="center"/>
              <w:rPr>
                <w:rFonts w:hint="eastAsia" w:ascii="仿宋" w:hAnsi="仿宋" w:eastAsia="仿宋" w:cs="仿宋"/>
                <w:b/>
                <w:bCs/>
                <w:i w:val="0"/>
                <w:iCs w:val="0"/>
                <w:color w:val="auto"/>
                <w:sz w:val="20"/>
                <w:szCs w:val="20"/>
                <w:u w:val="none"/>
              </w:rPr>
            </w:pPr>
          </w:p>
        </w:tc>
        <w:tc>
          <w:tcPr>
            <w:tcW w:w="10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D63068">
            <w:pPr>
              <w:jc w:val="center"/>
              <w:rPr>
                <w:rFonts w:hint="eastAsia" w:ascii="仿宋" w:hAnsi="仿宋" w:eastAsia="仿宋" w:cs="仿宋"/>
                <w:b/>
                <w:bCs/>
                <w:i w:val="0"/>
                <w:iCs w:val="0"/>
                <w:color w:val="auto"/>
                <w:sz w:val="20"/>
                <w:szCs w:val="20"/>
                <w:u w:val="none"/>
              </w:rPr>
            </w:pPr>
          </w:p>
        </w:tc>
        <w:tc>
          <w:tcPr>
            <w:tcW w:w="26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3D958F">
            <w:pPr>
              <w:jc w:val="center"/>
              <w:rPr>
                <w:rFonts w:hint="eastAsia" w:ascii="仿宋" w:hAnsi="仿宋" w:eastAsia="仿宋" w:cs="仿宋"/>
                <w:i w:val="0"/>
                <w:iCs w:val="0"/>
                <w:color w:val="auto"/>
                <w:sz w:val="20"/>
                <w:szCs w:val="20"/>
                <w:u w:val="none"/>
              </w:rPr>
            </w:pPr>
          </w:p>
        </w:tc>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8C006F">
            <w:pPr>
              <w:jc w:val="left"/>
              <w:rPr>
                <w:rFonts w:hint="eastAsia" w:ascii="仿宋" w:hAnsi="仿宋" w:eastAsia="仿宋" w:cs="仿宋"/>
                <w:i w:val="0"/>
                <w:iCs w:val="0"/>
                <w:color w:val="auto"/>
                <w:sz w:val="20"/>
                <w:szCs w:val="20"/>
                <w:u w:val="none"/>
              </w:rPr>
            </w:pPr>
          </w:p>
        </w:tc>
        <w:tc>
          <w:tcPr>
            <w:tcW w:w="3030" w:type="dxa"/>
            <w:gridSpan w:val="2"/>
            <w:tcBorders>
              <w:top w:val="single" w:color="000000" w:sz="4" w:space="0"/>
              <w:left w:val="single" w:color="000000" w:sz="4" w:space="0"/>
              <w:bottom w:val="single" w:color="000000" w:sz="4" w:space="0"/>
              <w:right w:val="single" w:color="000000" w:sz="4" w:space="0"/>
            </w:tcBorders>
            <w:noWrap w:val="0"/>
            <w:vAlign w:val="center"/>
          </w:tcPr>
          <w:p w14:paraId="54AA2B4E">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④单一来源 5个工作日</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58ECFAA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p>
        </w:tc>
      </w:tr>
      <w:tr w14:paraId="1308A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3A46FF">
            <w:pPr>
              <w:jc w:val="center"/>
              <w:rPr>
                <w:rFonts w:hint="eastAsia" w:ascii="仿宋" w:hAnsi="仿宋" w:eastAsia="仿宋" w:cs="仿宋"/>
                <w:b/>
                <w:bCs/>
                <w:i w:val="0"/>
                <w:iCs w:val="0"/>
                <w:color w:val="auto"/>
                <w:sz w:val="20"/>
                <w:szCs w:val="20"/>
                <w:u w:val="none"/>
              </w:rPr>
            </w:pPr>
          </w:p>
        </w:tc>
        <w:tc>
          <w:tcPr>
            <w:tcW w:w="10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7697EF">
            <w:pPr>
              <w:jc w:val="center"/>
              <w:rPr>
                <w:rFonts w:hint="eastAsia" w:ascii="仿宋" w:hAnsi="仿宋" w:eastAsia="仿宋" w:cs="仿宋"/>
                <w:b/>
                <w:bCs/>
                <w:i w:val="0"/>
                <w:iCs w:val="0"/>
                <w:color w:val="auto"/>
                <w:sz w:val="20"/>
                <w:szCs w:val="20"/>
                <w:u w:val="none"/>
              </w:rPr>
            </w:pPr>
          </w:p>
        </w:tc>
        <w:tc>
          <w:tcPr>
            <w:tcW w:w="26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716D7B">
            <w:pPr>
              <w:jc w:val="center"/>
              <w:rPr>
                <w:rFonts w:hint="eastAsia" w:ascii="仿宋" w:hAnsi="仿宋" w:eastAsia="仿宋" w:cs="仿宋"/>
                <w:i w:val="0"/>
                <w:iCs w:val="0"/>
                <w:color w:val="auto"/>
                <w:sz w:val="20"/>
                <w:szCs w:val="20"/>
                <w:u w:val="none"/>
              </w:rPr>
            </w:pPr>
          </w:p>
        </w:tc>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FB3941">
            <w:pPr>
              <w:jc w:val="left"/>
              <w:rPr>
                <w:rFonts w:hint="eastAsia" w:ascii="仿宋" w:hAnsi="仿宋" w:eastAsia="仿宋" w:cs="仿宋"/>
                <w:i w:val="0"/>
                <w:iCs w:val="0"/>
                <w:color w:val="auto"/>
                <w:sz w:val="20"/>
                <w:szCs w:val="20"/>
                <w:u w:val="none"/>
              </w:rPr>
            </w:pPr>
          </w:p>
        </w:tc>
        <w:tc>
          <w:tcPr>
            <w:tcW w:w="3030" w:type="dxa"/>
            <w:gridSpan w:val="2"/>
            <w:tcBorders>
              <w:top w:val="single" w:color="000000" w:sz="4" w:space="0"/>
              <w:left w:val="single" w:color="000000" w:sz="4" w:space="0"/>
              <w:bottom w:val="single" w:color="000000" w:sz="4" w:space="0"/>
              <w:right w:val="single" w:color="000000" w:sz="4" w:space="0"/>
            </w:tcBorders>
            <w:noWrap w:val="0"/>
            <w:vAlign w:val="center"/>
          </w:tcPr>
          <w:p w14:paraId="1A55D253">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⑤邀请招标 5个工作日</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2AB04BB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p>
        </w:tc>
      </w:tr>
      <w:tr w14:paraId="00392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74CF3DA">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16</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14:paraId="1899BCC6">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开标</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14:paraId="5BA2F1B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同上</w:t>
            </w:r>
          </w:p>
        </w:tc>
        <w:tc>
          <w:tcPr>
            <w:tcW w:w="4590" w:type="dxa"/>
            <w:gridSpan w:val="3"/>
            <w:tcBorders>
              <w:top w:val="single" w:color="000000" w:sz="4" w:space="0"/>
              <w:left w:val="single" w:color="000000" w:sz="4" w:space="0"/>
              <w:bottom w:val="single" w:color="000000" w:sz="4" w:space="0"/>
              <w:right w:val="single" w:color="000000" w:sz="4" w:space="0"/>
            </w:tcBorders>
            <w:noWrap w:val="0"/>
            <w:vAlign w:val="center"/>
          </w:tcPr>
          <w:p w14:paraId="071090B3">
            <w:pPr>
              <w:jc w:val="center"/>
              <w:rPr>
                <w:rFonts w:hint="eastAsia" w:ascii="仿宋" w:hAnsi="仿宋" w:eastAsia="仿宋" w:cs="仿宋"/>
                <w:i w:val="0"/>
                <w:iCs w:val="0"/>
                <w:color w:val="auto"/>
                <w:sz w:val="20"/>
                <w:szCs w:val="20"/>
                <w:u w:val="none"/>
              </w:rPr>
            </w:pP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6ABB3CEF">
            <w:pPr>
              <w:jc w:val="center"/>
              <w:rPr>
                <w:rFonts w:hint="eastAsia" w:ascii="仿宋" w:hAnsi="仿宋" w:eastAsia="仿宋" w:cs="仿宋"/>
                <w:i w:val="0"/>
                <w:iCs w:val="0"/>
                <w:color w:val="auto"/>
                <w:sz w:val="20"/>
                <w:szCs w:val="20"/>
                <w:u w:val="none"/>
              </w:rPr>
            </w:pPr>
          </w:p>
        </w:tc>
      </w:tr>
      <w:tr w14:paraId="4C830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0EE86DB9">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17</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14:paraId="067F902A">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评标</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14:paraId="1FCC293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同上</w:t>
            </w:r>
          </w:p>
        </w:tc>
        <w:tc>
          <w:tcPr>
            <w:tcW w:w="4590" w:type="dxa"/>
            <w:gridSpan w:val="3"/>
            <w:tcBorders>
              <w:top w:val="single" w:color="000000" w:sz="4" w:space="0"/>
              <w:left w:val="single" w:color="000000" w:sz="4" w:space="0"/>
              <w:bottom w:val="single" w:color="000000" w:sz="4" w:space="0"/>
              <w:right w:val="single" w:color="000000" w:sz="4" w:space="0"/>
            </w:tcBorders>
            <w:noWrap w:val="0"/>
            <w:vAlign w:val="center"/>
          </w:tcPr>
          <w:p w14:paraId="6975A8D0">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采购人代表委派单线联系参加评标，满足三家有效投标</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78E831E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p>
        </w:tc>
      </w:tr>
      <w:tr w14:paraId="7C1D8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5E7DB8D7">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18</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14:paraId="594D741C">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定标</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14:paraId="127DD03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同上</w:t>
            </w:r>
          </w:p>
        </w:tc>
        <w:tc>
          <w:tcPr>
            <w:tcW w:w="4590" w:type="dxa"/>
            <w:gridSpan w:val="3"/>
            <w:tcBorders>
              <w:top w:val="single" w:color="000000" w:sz="4" w:space="0"/>
              <w:left w:val="single" w:color="000000" w:sz="4" w:space="0"/>
              <w:bottom w:val="single" w:color="000000" w:sz="4" w:space="0"/>
              <w:right w:val="single" w:color="000000" w:sz="4" w:space="0"/>
            </w:tcBorders>
            <w:noWrap w:val="0"/>
            <w:vAlign w:val="center"/>
          </w:tcPr>
          <w:p w14:paraId="2538769A">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收到评标报告5个工作日内</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699C041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p>
        </w:tc>
      </w:tr>
      <w:tr w14:paraId="2D396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00" w:type="dxa"/>
            <w:vMerge w:val="restart"/>
            <w:tcBorders>
              <w:top w:val="single" w:color="000000" w:sz="4" w:space="0"/>
              <w:left w:val="single" w:color="000000" w:sz="4" w:space="0"/>
              <w:bottom w:val="single" w:color="000000" w:sz="4" w:space="0"/>
              <w:right w:val="single" w:color="000000" w:sz="4" w:space="0"/>
            </w:tcBorders>
            <w:noWrap w:val="0"/>
            <w:vAlign w:val="center"/>
          </w:tcPr>
          <w:p w14:paraId="206440CE">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19</w:t>
            </w:r>
          </w:p>
        </w:tc>
        <w:tc>
          <w:tcPr>
            <w:tcW w:w="1043" w:type="dxa"/>
            <w:vMerge w:val="restart"/>
            <w:tcBorders>
              <w:top w:val="single" w:color="000000" w:sz="4" w:space="0"/>
              <w:left w:val="single" w:color="000000" w:sz="4" w:space="0"/>
              <w:bottom w:val="single" w:color="000000" w:sz="4" w:space="0"/>
              <w:right w:val="single" w:color="000000" w:sz="4" w:space="0"/>
            </w:tcBorders>
            <w:noWrap w:val="0"/>
            <w:vAlign w:val="center"/>
          </w:tcPr>
          <w:p w14:paraId="398F5DA9">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中标公告</w:t>
            </w:r>
          </w:p>
        </w:tc>
        <w:tc>
          <w:tcPr>
            <w:tcW w:w="2610" w:type="dxa"/>
            <w:vMerge w:val="restart"/>
            <w:tcBorders>
              <w:top w:val="single" w:color="000000" w:sz="4" w:space="0"/>
              <w:left w:val="single" w:color="000000" w:sz="4" w:space="0"/>
              <w:bottom w:val="single" w:color="000000" w:sz="4" w:space="0"/>
              <w:right w:val="single" w:color="000000" w:sz="4" w:space="0"/>
            </w:tcBorders>
            <w:noWrap w:val="0"/>
            <w:vAlign w:val="center"/>
          </w:tcPr>
          <w:p w14:paraId="2FA7CC5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同上</w:t>
            </w:r>
          </w:p>
        </w:tc>
        <w:tc>
          <w:tcPr>
            <w:tcW w:w="4590" w:type="dxa"/>
            <w:gridSpan w:val="3"/>
            <w:tcBorders>
              <w:top w:val="single" w:color="000000" w:sz="4" w:space="0"/>
              <w:left w:val="single" w:color="000000" w:sz="4" w:space="0"/>
              <w:bottom w:val="single" w:color="000000" w:sz="4" w:space="0"/>
              <w:right w:val="single" w:color="000000" w:sz="4" w:space="0"/>
            </w:tcBorders>
            <w:noWrap w:val="0"/>
            <w:vAlign w:val="center"/>
          </w:tcPr>
          <w:p w14:paraId="2B00F79B">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①定标后2个工作日内公告</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7FAB3DE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p>
        </w:tc>
      </w:tr>
      <w:tr w14:paraId="72DE7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EDF813">
            <w:pPr>
              <w:jc w:val="center"/>
              <w:rPr>
                <w:rFonts w:hint="eastAsia" w:ascii="仿宋" w:hAnsi="仿宋" w:eastAsia="仿宋" w:cs="仿宋"/>
                <w:b/>
                <w:bCs/>
                <w:i w:val="0"/>
                <w:iCs w:val="0"/>
                <w:color w:val="auto"/>
                <w:sz w:val="20"/>
                <w:szCs w:val="20"/>
                <w:u w:val="none"/>
              </w:rPr>
            </w:pPr>
          </w:p>
        </w:tc>
        <w:tc>
          <w:tcPr>
            <w:tcW w:w="10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41AE67">
            <w:pPr>
              <w:jc w:val="center"/>
              <w:rPr>
                <w:rFonts w:hint="eastAsia" w:ascii="仿宋" w:hAnsi="仿宋" w:eastAsia="仿宋" w:cs="仿宋"/>
                <w:b/>
                <w:bCs/>
                <w:i w:val="0"/>
                <w:iCs w:val="0"/>
                <w:color w:val="auto"/>
                <w:sz w:val="20"/>
                <w:szCs w:val="20"/>
                <w:u w:val="none"/>
              </w:rPr>
            </w:pPr>
          </w:p>
        </w:tc>
        <w:tc>
          <w:tcPr>
            <w:tcW w:w="26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78AE87">
            <w:pPr>
              <w:jc w:val="center"/>
              <w:rPr>
                <w:rFonts w:hint="eastAsia" w:ascii="仿宋" w:hAnsi="仿宋" w:eastAsia="仿宋" w:cs="仿宋"/>
                <w:i w:val="0"/>
                <w:iCs w:val="0"/>
                <w:color w:val="auto"/>
                <w:sz w:val="20"/>
                <w:szCs w:val="20"/>
                <w:u w:val="none"/>
              </w:rPr>
            </w:pPr>
          </w:p>
        </w:tc>
        <w:tc>
          <w:tcPr>
            <w:tcW w:w="4590" w:type="dxa"/>
            <w:gridSpan w:val="3"/>
            <w:tcBorders>
              <w:top w:val="single" w:color="000000" w:sz="4" w:space="0"/>
              <w:left w:val="single" w:color="000000" w:sz="4" w:space="0"/>
              <w:bottom w:val="single" w:color="000000" w:sz="4" w:space="0"/>
              <w:right w:val="single" w:color="000000" w:sz="4" w:space="0"/>
            </w:tcBorders>
            <w:noWrap w:val="0"/>
            <w:vAlign w:val="center"/>
          </w:tcPr>
          <w:p w14:paraId="04BE653E">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②公开招标3个自然日公告期</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60EA770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p>
        </w:tc>
      </w:tr>
      <w:tr w14:paraId="2C003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B2E4983">
            <w:pPr>
              <w:keepNext w:val="0"/>
              <w:keepLines w:val="0"/>
              <w:widowControl/>
              <w:suppressLineNumbers w:val="0"/>
              <w:jc w:val="center"/>
              <w:textAlignment w:val="center"/>
              <w:rPr>
                <w:rFonts w:hint="default" w:ascii="仿宋" w:hAnsi="仿宋" w:eastAsia="仿宋" w:cs="仿宋"/>
                <w:b/>
                <w:bCs/>
                <w:i w:val="0"/>
                <w:iCs w:val="0"/>
                <w:color w:val="auto"/>
                <w:sz w:val="22"/>
                <w:szCs w:val="22"/>
                <w:u w:val="none"/>
                <w:lang w:val="en-US"/>
              </w:rPr>
            </w:pPr>
            <w:r>
              <w:rPr>
                <w:rFonts w:hint="eastAsia" w:ascii="宋体" w:hAnsi="宋体" w:eastAsia="宋体" w:cs="宋体"/>
                <w:b/>
                <w:bCs/>
                <w:i w:val="0"/>
                <w:iCs w:val="0"/>
                <w:color w:val="auto"/>
                <w:kern w:val="0"/>
                <w:sz w:val="22"/>
                <w:szCs w:val="22"/>
                <w:u w:val="none"/>
                <w:lang w:val="en-US" w:eastAsia="zh-CN" w:bidi="ar"/>
              </w:rPr>
              <w:t>20</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14:paraId="2C5BBE3A">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签订合同</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14:paraId="212E88E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同上</w:t>
            </w:r>
          </w:p>
        </w:tc>
        <w:tc>
          <w:tcPr>
            <w:tcW w:w="4590" w:type="dxa"/>
            <w:gridSpan w:val="3"/>
            <w:tcBorders>
              <w:top w:val="single" w:color="000000" w:sz="4" w:space="0"/>
              <w:left w:val="single" w:color="000000" w:sz="4" w:space="0"/>
              <w:bottom w:val="single" w:color="000000" w:sz="4" w:space="0"/>
              <w:right w:val="single" w:color="000000" w:sz="4" w:space="0"/>
            </w:tcBorders>
            <w:noWrap w:val="0"/>
            <w:vAlign w:val="center"/>
          </w:tcPr>
          <w:p w14:paraId="260E36AF">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无质疑，中标公告后30个自然日内</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47EC0571">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p>
        </w:tc>
      </w:tr>
      <w:tr w14:paraId="1E76B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7888290">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14:paraId="57129E24">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合同公开</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14:paraId="5E5D1F1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同上</w:t>
            </w:r>
          </w:p>
        </w:tc>
        <w:tc>
          <w:tcPr>
            <w:tcW w:w="4590" w:type="dxa"/>
            <w:gridSpan w:val="3"/>
            <w:tcBorders>
              <w:top w:val="single" w:color="000000" w:sz="4" w:space="0"/>
              <w:left w:val="single" w:color="000000" w:sz="4" w:space="0"/>
              <w:bottom w:val="single" w:color="000000" w:sz="4" w:space="0"/>
              <w:right w:val="single" w:color="000000" w:sz="4" w:space="0"/>
            </w:tcBorders>
            <w:noWrap w:val="0"/>
            <w:vAlign w:val="center"/>
          </w:tcPr>
          <w:p w14:paraId="15B68480">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合同签订之日起2个工作日内</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6A0D8F38">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p>
        </w:tc>
      </w:tr>
    </w:tbl>
    <w:p w14:paraId="438D52FA">
      <w:pPr>
        <w:keepNext w:val="0"/>
        <w:keepLines w:val="0"/>
        <w:pageBreakBefore w:val="0"/>
        <w:widowControl w:val="0"/>
        <w:numPr>
          <w:ilvl w:val="0"/>
          <w:numId w:val="0"/>
        </w:numPr>
        <w:kinsoku/>
        <w:wordWrap/>
        <w:overflowPunct/>
        <w:topLinePunct w:val="0"/>
        <w:autoSpaceDE/>
        <w:autoSpaceDN/>
        <w:bidi w:val="0"/>
        <w:spacing w:line="500" w:lineRule="exact"/>
        <w:ind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br w:type="page"/>
      </w:r>
      <w:r>
        <w:rPr>
          <w:rFonts w:hint="eastAsia" w:ascii="黑体" w:hAnsi="黑体" w:eastAsia="黑体" w:cs="黑体"/>
          <w:color w:val="auto"/>
          <w:kern w:val="2"/>
          <w:sz w:val="32"/>
          <w:szCs w:val="32"/>
          <w:lang w:val="en-US" w:eastAsia="zh-CN" w:bidi="ar-SA"/>
        </w:rPr>
        <w:t>二、合同内容</w:t>
      </w:r>
      <w:r>
        <w:rPr>
          <w:rFonts w:hint="eastAsia" w:ascii="仿宋" w:hAnsi="仿宋" w:eastAsia="仿宋" w:cs="仿宋"/>
          <w:color w:val="auto"/>
          <w:kern w:val="2"/>
          <w:sz w:val="32"/>
          <w:szCs w:val="32"/>
          <w:lang w:val="en-US" w:eastAsia="zh-CN" w:bidi="ar-SA"/>
        </w:rPr>
        <w:t>（可附后）</w:t>
      </w:r>
    </w:p>
    <w:p w14:paraId="329D6C1E">
      <w:pPr>
        <w:keepNext w:val="0"/>
        <w:keepLines w:val="0"/>
        <w:pageBreakBefore w:val="0"/>
        <w:widowControl w:val="0"/>
        <w:numPr>
          <w:ilvl w:val="0"/>
          <w:numId w:val="0"/>
        </w:numPr>
        <w:kinsoku/>
        <w:wordWrap/>
        <w:overflowPunct/>
        <w:topLinePunct w:val="0"/>
        <w:autoSpaceDE/>
        <w:autoSpaceDN/>
        <w:bidi w:val="0"/>
        <w:spacing w:line="500" w:lineRule="exact"/>
        <w:ind w:firstLine="960" w:firstLineChars="300"/>
        <w:jc w:val="left"/>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请提交法核后确定版合同</w:t>
      </w:r>
    </w:p>
    <w:p w14:paraId="2E2BBB37">
      <w:pPr>
        <w:pStyle w:val="2"/>
        <w:rPr>
          <w:rFonts w:hint="eastAsia" w:ascii="仿宋" w:hAnsi="仿宋" w:eastAsia="仿宋" w:cs="仿宋"/>
          <w:color w:val="auto"/>
          <w:kern w:val="2"/>
          <w:sz w:val="32"/>
          <w:szCs w:val="32"/>
          <w:lang w:val="en-US" w:eastAsia="zh-CN" w:bidi="ar-SA"/>
        </w:rPr>
      </w:pPr>
    </w:p>
    <w:p w14:paraId="66EA8E46">
      <w:pPr>
        <w:pStyle w:val="2"/>
        <w:rPr>
          <w:rFonts w:hint="default" w:ascii="仿宋" w:hAnsi="仿宋" w:eastAsia="仿宋" w:cs="仿宋"/>
          <w:color w:val="auto"/>
          <w:kern w:val="2"/>
          <w:sz w:val="32"/>
          <w:szCs w:val="32"/>
          <w:lang w:val="en-US" w:eastAsia="zh-CN" w:bidi="ar-SA"/>
        </w:rPr>
      </w:pPr>
    </w:p>
    <w:p w14:paraId="239DB048">
      <w:pPr>
        <w:keepNext w:val="0"/>
        <w:keepLines w:val="0"/>
        <w:pageBreakBefore w:val="0"/>
        <w:widowControl w:val="0"/>
        <w:numPr>
          <w:ilvl w:val="0"/>
          <w:numId w:val="0"/>
        </w:numPr>
        <w:kinsoku/>
        <w:wordWrap/>
        <w:overflowPunct/>
        <w:topLinePunct w:val="0"/>
        <w:autoSpaceDE/>
        <w:autoSpaceDN/>
        <w:bidi w:val="0"/>
        <w:spacing w:line="500" w:lineRule="exact"/>
        <w:ind w:firstLine="640" w:firstLineChars="200"/>
        <w:jc w:val="left"/>
        <w:textAlignment w:val="auto"/>
        <w:rPr>
          <w:rFonts w:hint="eastAsia" w:ascii="楷体_GB2312" w:hAnsi="楷体" w:eastAsia="楷体_GB2312"/>
          <w:color w:val="auto"/>
          <w:sz w:val="32"/>
          <w:szCs w:val="32"/>
        </w:rPr>
      </w:pPr>
      <w:r>
        <w:rPr>
          <w:rFonts w:hint="eastAsia" w:ascii="黑体" w:hAnsi="黑体" w:eastAsia="黑体" w:cs="黑体"/>
          <w:color w:val="auto"/>
          <w:kern w:val="2"/>
          <w:sz w:val="32"/>
          <w:szCs w:val="32"/>
          <w:lang w:val="en-US" w:eastAsia="zh-CN" w:bidi="ar-SA"/>
        </w:rPr>
        <w:t>三、</w:t>
      </w:r>
      <w:r>
        <w:rPr>
          <w:rFonts w:hint="eastAsia" w:ascii="黑体" w:hAnsi="黑体" w:eastAsia="黑体"/>
          <w:color w:val="auto"/>
          <w:sz w:val="32"/>
          <w:szCs w:val="32"/>
        </w:rPr>
        <w:t>合同订立安排</w:t>
      </w:r>
      <w:r>
        <w:rPr>
          <w:rFonts w:hint="eastAsia" w:ascii="仿宋_GB2312" w:hAnsi="楷体" w:eastAsia="仿宋_GB2312"/>
          <w:color w:val="auto"/>
          <w:sz w:val="32"/>
          <w:szCs w:val="32"/>
        </w:rPr>
        <w:t xml:space="preserve">                                </w:t>
      </w:r>
    </w:p>
    <w:p w14:paraId="2C4342C9">
      <w:pPr>
        <w:spacing w:line="560" w:lineRule="exact"/>
        <w:ind w:firstLine="640" w:firstLineChars="200"/>
        <w:jc w:val="left"/>
        <w:rPr>
          <w:rFonts w:hint="eastAsia" w:ascii="楷体_GB2312" w:hAnsi="楷体" w:eastAsia="楷体_GB2312"/>
          <w:color w:val="auto"/>
          <w:sz w:val="32"/>
          <w:szCs w:val="32"/>
        </w:rPr>
      </w:pPr>
      <w:r>
        <w:rPr>
          <w:rFonts w:hint="eastAsia" w:ascii="楷体_GB2312" w:hAnsi="楷体" w:eastAsia="楷体_GB2312" w:cs="Times New Roman"/>
          <w:color w:val="auto"/>
          <w:kern w:val="2"/>
          <w:sz w:val="32"/>
          <w:szCs w:val="32"/>
          <w:lang w:val="en-US" w:eastAsia="zh-CN" w:bidi="ar-SA"/>
        </w:rPr>
        <w:t>（一）</w:t>
      </w:r>
      <w:r>
        <w:rPr>
          <w:rFonts w:hint="eastAsia" w:ascii="楷体_GB2312" w:hAnsi="楷体" w:eastAsia="楷体_GB2312"/>
          <w:color w:val="auto"/>
          <w:sz w:val="32"/>
          <w:szCs w:val="32"/>
        </w:rPr>
        <w:t>采购包划分与合同分包</w:t>
      </w:r>
    </w:p>
    <w:p w14:paraId="106855F7">
      <w:pPr>
        <w:spacing w:line="560" w:lineRule="exact"/>
        <w:ind w:firstLine="480" w:firstLineChars="200"/>
        <w:jc w:val="left"/>
        <w:rPr>
          <w:rFonts w:ascii="仿宋" w:hAnsi="仿宋" w:eastAsia="仿宋"/>
          <w:i/>
          <w:color w:val="auto"/>
          <w:sz w:val="24"/>
          <w:szCs w:val="24"/>
          <w:u w:val="single"/>
        </w:rPr>
      </w:pPr>
      <w:r>
        <w:rPr>
          <w:rFonts w:hint="eastAsia" w:ascii="仿宋" w:hAnsi="仿宋" w:eastAsia="仿宋"/>
          <w:i/>
          <w:color w:val="auto"/>
          <w:sz w:val="24"/>
          <w:szCs w:val="24"/>
          <w:u w:val="single"/>
        </w:rPr>
        <w:t>应按照有利于采购项目实施的原则，明确采购包或者合同分包要求。</w:t>
      </w:r>
    </w:p>
    <w:tbl>
      <w:tblPr>
        <w:tblStyle w:val="4"/>
        <w:tblW w:w="9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765"/>
        <w:gridCol w:w="1843"/>
        <w:gridCol w:w="1417"/>
        <w:gridCol w:w="881"/>
        <w:gridCol w:w="850"/>
        <w:gridCol w:w="922"/>
        <w:gridCol w:w="1954"/>
      </w:tblGrid>
      <w:tr w14:paraId="630CB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5" w:type="dxa"/>
            <w:noWrap w:val="0"/>
            <w:vAlign w:val="center"/>
          </w:tcPr>
          <w:p w14:paraId="0534B5B2">
            <w:pPr>
              <w:spacing w:line="560" w:lineRule="exact"/>
              <w:jc w:val="center"/>
              <w:rPr>
                <w:rFonts w:ascii="仿宋" w:hAnsi="仿宋" w:eastAsia="仿宋"/>
                <w:b/>
                <w:color w:val="auto"/>
                <w:sz w:val="28"/>
                <w:szCs w:val="28"/>
              </w:rPr>
            </w:pPr>
            <w:r>
              <w:rPr>
                <w:rFonts w:hint="eastAsia" w:ascii="仿宋" w:hAnsi="仿宋" w:eastAsia="仿宋"/>
                <w:b/>
                <w:color w:val="auto"/>
                <w:sz w:val="28"/>
                <w:szCs w:val="28"/>
              </w:rPr>
              <w:t>包号</w:t>
            </w:r>
          </w:p>
        </w:tc>
        <w:tc>
          <w:tcPr>
            <w:tcW w:w="765" w:type="dxa"/>
            <w:noWrap w:val="0"/>
            <w:vAlign w:val="center"/>
          </w:tcPr>
          <w:p w14:paraId="5FFB4FB2">
            <w:pPr>
              <w:spacing w:line="560" w:lineRule="exact"/>
              <w:jc w:val="center"/>
              <w:rPr>
                <w:rFonts w:ascii="仿宋" w:hAnsi="仿宋" w:eastAsia="仿宋"/>
                <w:b/>
                <w:color w:val="auto"/>
                <w:sz w:val="28"/>
                <w:szCs w:val="28"/>
              </w:rPr>
            </w:pPr>
            <w:r>
              <w:rPr>
                <w:rFonts w:hint="eastAsia" w:ascii="仿宋" w:hAnsi="仿宋" w:eastAsia="仿宋"/>
                <w:b/>
                <w:color w:val="auto"/>
                <w:sz w:val="28"/>
                <w:szCs w:val="28"/>
              </w:rPr>
              <w:t>序号</w:t>
            </w:r>
          </w:p>
        </w:tc>
        <w:tc>
          <w:tcPr>
            <w:tcW w:w="1843" w:type="dxa"/>
            <w:noWrap w:val="0"/>
            <w:vAlign w:val="center"/>
          </w:tcPr>
          <w:p w14:paraId="3264EA66">
            <w:pPr>
              <w:spacing w:line="560" w:lineRule="exact"/>
              <w:jc w:val="center"/>
              <w:rPr>
                <w:rFonts w:ascii="仿宋" w:hAnsi="仿宋" w:eastAsia="仿宋"/>
                <w:b/>
                <w:color w:val="auto"/>
                <w:sz w:val="28"/>
                <w:szCs w:val="28"/>
              </w:rPr>
            </w:pPr>
            <w:r>
              <w:rPr>
                <w:rFonts w:hint="eastAsia" w:ascii="仿宋" w:hAnsi="仿宋" w:eastAsia="仿宋"/>
                <w:b/>
                <w:color w:val="auto"/>
                <w:sz w:val="28"/>
                <w:szCs w:val="28"/>
              </w:rPr>
              <w:t>标的名称</w:t>
            </w:r>
          </w:p>
        </w:tc>
        <w:tc>
          <w:tcPr>
            <w:tcW w:w="1417" w:type="dxa"/>
            <w:noWrap w:val="0"/>
            <w:vAlign w:val="center"/>
          </w:tcPr>
          <w:p w14:paraId="056BEF25">
            <w:pPr>
              <w:spacing w:line="560" w:lineRule="exact"/>
              <w:jc w:val="center"/>
              <w:rPr>
                <w:rFonts w:ascii="仿宋" w:hAnsi="仿宋" w:eastAsia="仿宋"/>
                <w:b/>
                <w:color w:val="auto"/>
                <w:sz w:val="28"/>
                <w:szCs w:val="28"/>
              </w:rPr>
            </w:pPr>
            <w:r>
              <w:rPr>
                <w:rFonts w:hint="eastAsia" w:ascii="仿宋" w:hAnsi="仿宋" w:eastAsia="仿宋"/>
                <w:b/>
                <w:color w:val="auto"/>
                <w:sz w:val="28"/>
                <w:szCs w:val="28"/>
              </w:rPr>
              <w:t>品目</w:t>
            </w:r>
          </w:p>
          <w:p w14:paraId="22844D5B">
            <w:pPr>
              <w:spacing w:line="560" w:lineRule="exact"/>
              <w:jc w:val="center"/>
              <w:rPr>
                <w:rFonts w:ascii="仿宋" w:hAnsi="仿宋" w:eastAsia="仿宋"/>
                <w:b/>
                <w:color w:val="auto"/>
                <w:sz w:val="28"/>
                <w:szCs w:val="28"/>
              </w:rPr>
            </w:pPr>
            <w:r>
              <w:rPr>
                <w:rFonts w:hint="eastAsia" w:ascii="仿宋" w:hAnsi="仿宋" w:eastAsia="仿宋"/>
                <w:b/>
                <w:color w:val="auto"/>
                <w:sz w:val="28"/>
                <w:szCs w:val="28"/>
              </w:rPr>
              <w:t>分类编码</w:t>
            </w:r>
          </w:p>
        </w:tc>
        <w:tc>
          <w:tcPr>
            <w:tcW w:w="881" w:type="dxa"/>
            <w:noWrap w:val="0"/>
            <w:vAlign w:val="center"/>
          </w:tcPr>
          <w:p w14:paraId="5DF6829C">
            <w:pPr>
              <w:spacing w:line="560" w:lineRule="exact"/>
              <w:jc w:val="center"/>
              <w:rPr>
                <w:rFonts w:ascii="仿宋" w:hAnsi="仿宋" w:eastAsia="仿宋"/>
                <w:b/>
                <w:color w:val="auto"/>
                <w:sz w:val="28"/>
                <w:szCs w:val="28"/>
              </w:rPr>
            </w:pPr>
            <w:r>
              <w:rPr>
                <w:rFonts w:hint="eastAsia" w:ascii="仿宋" w:hAnsi="仿宋" w:eastAsia="仿宋"/>
                <w:b/>
                <w:color w:val="auto"/>
                <w:sz w:val="28"/>
                <w:szCs w:val="28"/>
              </w:rPr>
              <w:t>计量</w:t>
            </w:r>
          </w:p>
          <w:p w14:paraId="37D6BAA0">
            <w:pPr>
              <w:spacing w:line="560" w:lineRule="exact"/>
              <w:jc w:val="center"/>
              <w:rPr>
                <w:rFonts w:ascii="仿宋" w:hAnsi="仿宋" w:eastAsia="仿宋"/>
                <w:b/>
                <w:color w:val="auto"/>
                <w:sz w:val="28"/>
                <w:szCs w:val="28"/>
              </w:rPr>
            </w:pPr>
            <w:r>
              <w:rPr>
                <w:rFonts w:hint="eastAsia" w:ascii="仿宋" w:hAnsi="仿宋" w:eastAsia="仿宋"/>
                <w:b/>
                <w:color w:val="auto"/>
                <w:sz w:val="28"/>
                <w:szCs w:val="28"/>
              </w:rPr>
              <w:t>单位</w:t>
            </w:r>
          </w:p>
        </w:tc>
        <w:tc>
          <w:tcPr>
            <w:tcW w:w="850" w:type="dxa"/>
            <w:noWrap w:val="0"/>
            <w:vAlign w:val="center"/>
          </w:tcPr>
          <w:p w14:paraId="233DB385">
            <w:pPr>
              <w:spacing w:line="560" w:lineRule="exact"/>
              <w:jc w:val="center"/>
              <w:rPr>
                <w:rFonts w:ascii="仿宋" w:hAnsi="仿宋" w:eastAsia="仿宋"/>
                <w:b/>
                <w:color w:val="auto"/>
                <w:sz w:val="28"/>
                <w:szCs w:val="28"/>
              </w:rPr>
            </w:pPr>
            <w:r>
              <w:rPr>
                <w:rFonts w:hint="eastAsia" w:ascii="仿宋" w:hAnsi="仿宋" w:eastAsia="仿宋"/>
                <w:b/>
                <w:color w:val="auto"/>
                <w:sz w:val="28"/>
                <w:szCs w:val="28"/>
              </w:rPr>
              <w:t>数量</w:t>
            </w:r>
          </w:p>
        </w:tc>
        <w:tc>
          <w:tcPr>
            <w:tcW w:w="922" w:type="dxa"/>
            <w:noWrap w:val="0"/>
            <w:vAlign w:val="center"/>
          </w:tcPr>
          <w:p w14:paraId="4611621B">
            <w:pPr>
              <w:spacing w:line="560" w:lineRule="exact"/>
              <w:jc w:val="center"/>
              <w:rPr>
                <w:rFonts w:ascii="仿宋" w:hAnsi="仿宋" w:eastAsia="仿宋"/>
                <w:b/>
                <w:color w:val="auto"/>
                <w:sz w:val="28"/>
                <w:szCs w:val="28"/>
              </w:rPr>
            </w:pPr>
            <w:r>
              <w:rPr>
                <w:rFonts w:hint="eastAsia" w:ascii="仿宋" w:hAnsi="仿宋" w:eastAsia="仿宋"/>
                <w:b/>
                <w:color w:val="auto"/>
                <w:sz w:val="28"/>
                <w:szCs w:val="28"/>
              </w:rPr>
              <w:t>是否</w:t>
            </w:r>
          </w:p>
          <w:p w14:paraId="57959CF9">
            <w:pPr>
              <w:spacing w:line="560" w:lineRule="exact"/>
              <w:jc w:val="center"/>
              <w:rPr>
                <w:rFonts w:ascii="仿宋" w:hAnsi="仿宋" w:eastAsia="仿宋"/>
                <w:b/>
                <w:color w:val="auto"/>
                <w:sz w:val="28"/>
                <w:szCs w:val="28"/>
              </w:rPr>
            </w:pPr>
            <w:r>
              <w:rPr>
                <w:rFonts w:hint="eastAsia" w:ascii="仿宋" w:hAnsi="仿宋" w:eastAsia="仿宋"/>
                <w:b/>
                <w:color w:val="auto"/>
                <w:sz w:val="28"/>
                <w:szCs w:val="28"/>
              </w:rPr>
              <w:t>进口</w:t>
            </w:r>
          </w:p>
        </w:tc>
        <w:tc>
          <w:tcPr>
            <w:tcW w:w="1954" w:type="dxa"/>
            <w:noWrap w:val="0"/>
            <w:vAlign w:val="center"/>
          </w:tcPr>
          <w:p w14:paraId="646FC8AB">
            <w:pPr>
              <w:spacing w:line="560" w:lineRule="exact"/>
              <w:jc w:val="center"/>
              <w:rPr>
                <w:rFonts w:ascii="仿宋" w:hAnsi="仿宋" w:eastAsia="仿宋"/>
                <w:b/>
                <w:color w:val="auto"/>
                <w:sz w:val="28"/>
                <w:szCs w:val="28"/>
              </w:rPr>
            </w:pPr>
            <w:r>
              <w:rPr>
                <w:rFonts w:hint="eastAsia" w:ascii="仿宋" w:hAnsi="仿宋" w:eastAsia="仿宋"/>
                <w:b/>
                <w:color w:val="auto"/>
                <w:sz w:val="28"/>
                <w:szCs w:val="28"/>
              </w:rPr>
              <w:t>分包</w:t>
            </w:r>
          </w:p>
          <w:p w14:paraId="20D03E75">
            <w:pPr>
              <w:spacing w:line="560" w:lineRule="exact"/>
              <w:jc w:val="center"/>
              <w:rPr>
                <w:rFonts w:ascii="仿宋" w:hAnsi="仿宋" w:eastAsia="仿宋"/>
                <w:b/>
                <w:color w:val="auto"/>
                <w:sz w:val="28"/>
                <w:szCs w:val="28"/>
              </w:rPr>
            </w:pPr>
            <w:r>
              <w:rPr>
                <w:rFonts w:hint="eastAsia" w:ascii="仿宋" w:hAnsi="仿宋" w:eastAsia="仿宋"/>
                <w:b/>
                <w:color w:val="auto"/>
                <w:sz w:val="28"/>
                <w:szCs w:val="28"/>
              </w:rPr>
              <w:t>要求</w:t>
            </w:r>
          </w:p>
        </w:tc>
      </w:tr>
      <w:tr w14:paraId="7F2B1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E67D7D2">
            <w:pPr>
              <w:adjustRightInd w:val="0"/>
              <w:snapToGrid w:val="0"/>
              <w:spacing w:line="560" w:lineRule="exact"/>
              <w:jc w:val="center"/>
              <w:rPr>
                <w:rFonts w:ascii="仿宋" w:hAnsi="仿宋" w:eastAsia="仿宋"/>
                <w:color w:val="auto"/>
                <w:sz w:val="28"/>
                <w:szCs w:val="28"/>
              </w:rPr>
            </w:pPr>
          </w:p>
        </w:tc>
        <w:tc>
          <w:tcPr>
            <w:tcW w:w="765" w:type="dxa"/>
            <w:noWrap w:val="0"/>
            <w:vAlign w:val="center"/>
          </w:tcPr>
          <w:p w14:paraId="2B9E0742">
            <w:pPr>
              <w:adjustRightInd w:val="0"/>
              <w:snapToGrid w:val="0"/>
              <w:spacing w:line="560" w:lineRule="exact"/>
              <w:jc w:val="center"/>
              <w:rPr>
                <w:rFonts w:ascii="仿宋" w:hAnsi="仿宋" w:eastAsia="仿宋"/>
                <w:color w:val="auto"/>
                <w:sz w:val="28"/>
                <w:szCs w:val="28"/>
              </w:rPr>
            </w:pPr>
          </w:p>
        </w:tc>
        <w:tc>
          <w:tcPr>
            <w:tcW w:w="1843" w:type="dxa"/>
            <w:noWrap w:val="0"/>
            <w:vAlign w:val="center"/>
          </w:tcPr>
          <w:p w14:paraId="19107BF4">
            <w:pPr>
              <w:adjustRightInd w:val="0"/>
              <w:snapToGrid w:val="0"/>
              <w:spacing w:line="560" w:lineRule="exact"/>
              <w:jc w:val="center"/>
              <w:rPr>
                <w:rFonts w:ascii="仿宋" w:hAnsi="仿宋" w:eastAsia="仿宋"/>
                <w:i/>
                <w:color w:val="auto"/>
                <w:sz w:val="28"/>
                <w:szCs w:val="28"/>
                <w:u w:val="single"/>
              </w:rPr>
            </w:pPr>
            <w:r>
              <w:rPr>
                <w:rFonts w:hint="eastAsia" w:ascii="仿宋" w:hAnsi="仿宋" w:eastAsia="仿宋"/>
                <w:i/>
                <w:color w:val="auto"/>
                <w:sz w:val="28"/>
                <w:szCs w:val="28"/>
                <w:u w:val="single"/>
              </w:rPr>
              <w:t>采购标的应与财政部制定的《政府采购品目分类目录》对应</w:t>
            </w:r>
          </w:p>
        </w:tc>
        <w:tc>
          <w:tcPr>
            <w:tcW w:w="1417" w:type="dxa"/>
            <w:noWrap w:val="0"/>
            <w:vAlign w:val="center"/>
          </w:tcPr>
          <w:p w14:paraId="20210A90">
            <w:pPr>
              <w:adjustRightInd w:val="0"/>
              <w:snapToGrid w:val="0"/>
              <w:spacing w:line="560" w:lineRule="exact"/>
              <w:jc w:val="center"/>
              <w:rPr>
                <w:rFonts w:ascii="仿宋" w:hAnsi="仿宋" w:eastAsia="仿宋"/>
                <w:color w:val="auto"/>
                <w:sz w:val="28"/>
                <w:szCs w:val="28"/>
              </w:rPr>
            </w:pPr>
          </w:p>
        </w:tc>
        <w:tc>
          <w:tcPr>
            <w:tcW w:w="881" w:type="dxa"/>
            <w:noWrap w:val="0"/>
            <w:vAlign w:val="center"/>
          </w:tcPr>
          <w:p w14:paraId="033FEB51">
            <w:pPr>
              <w:adjustRightInd w:val="0"/>
              <w:snapToGrid w:val="0"/>
              <w:spacing w:line="560" w:lineRule="exact"/>
              <w:jc w:val="center"/>
              <w:rPr>
                <w:rFonts w:ascii="仿宋" w:hAnsi="仿宋" w:eastAsia="仿宋"/>
                <w:color w:val="auto"/>
                <w:sz w:val="28"/>
                <w:szCs w:val="28"/>
              </w:rPr>
            </w:pPr>
          </w:p>
        </w:tc>
        <w:tc>
          <w:tcPr>
            <w:tcW w:w="850" w:type="dxa"/>
            <w:noWrap w:val="0"/>
            <w:vAlign w:val="center"/>
          </w:tcPr>
          <w:p w14:paraId="079D3608">
            <w:pPr>
              <w:adjustRightInd w:val="0"/>
              <w:snapToGrid w:val="0"/>
              <w:spacing w:line="560" w:lineRule="exact"/>
              <w:jc w:val="center"/>
              <w:rPr>
                <w:rFonts w:ascii="仿宋" w:hAnsi="仿宋" w:eastAsia="仿宋"/>
                <w:color w:val="auto"/>
                <w:sz w:val="28"/>
                <w:szCs w:val="28"/>
              </w:rPr>
            </w:pPr>
          </w:p>
        </w:tc>
        <w:tc>
          <w:tcPr>
            <w:tcW w:w="922" w:type="dxa"/>
            <w:noWrap w:val="0"/>
            <w:vAlign w:val="center"/>
          </w:tcPr>
          <w:p w14:paraId="6BDE5D86">
            <w:pPr>
              <w:adjustRightInd w:val="0"/>
              <w:snapToGrid w:val="0"/>
              <w:spacing w:line="560" w:lineRule="exact"/>
              <w:jc w:val="center"/>
              <w:rPr>
                <w:rFonts w:ascii="仿宋" w:hAnsi="仿宋" w:eastAsia="仿宋"/>
                <w:color w:val="auto"/>
                <w:sz w:val="28"/>
                <w:szCs w:val="28"/>
              </w:rPr>
            </w:pPr>
            <w:r>
              <w:rPr>
                <w:rFonts w:ascii="仿宋" w:hAnsi="仿宋" w:eastAsia="仿宋"/>
                <w:color w:val="auto"/>
                <w:sz w:val="28"/>
                <w:szCs w:val="28"/>
              </w:rPr>
              <w:t>是</w:t>
            </w:r>
            <w:r>
              <w:rPr>
                <w:rFonts w:hint="eastAsia" w:ascii="仿宋" w:hAnsi="仿宋" w:eastAsia="仿宋"/>
                <w:color w:val="auto"/>
                <w:sz w:val="28"/>
                <w:szCs w:val="28"/>
              </w:rPr>
              <w:t>/否</w:t>
            </w:r>
          </w:p>
        </w:tc>
        <w:tc>
          <w:tcPr>
            <w:tcW w:w="1954" w:type="dxa"/>
            <w:noWrap w:val="0"/>
            <w:vAlign w:val="center"/>
          </w:tcPr>
          <w:p w14:paraId="37C371A7">
            <w:pPr>
              <w:adjustRightInd w:val="0"/>
              <w:snapToGrid w:val="0"/>
              <w:spacing w:line="560" w:lineRule="exact"/>
              <w:jc w:val="center"/>
              <w:rPr>
                <w:rFonts w:ascii="仿宋" w:hAnsi="仿宋" w:eastAsia="仿宋"/>
                <w:color w:val="auto"/>
                <w:sz w:val="28"/>
                <w:szCs w:val="28"/>
              </w:rPr>
            </w:pPr>
            <w:r>
              <w:rPr>
                <w:rFonts w:hint="eastAsia" w:ascii="仿宋" w:hAnsi="仿宋" w:eastAsia="仿宋"/>
                <w:i/>
                <w:color w:val="auto"/>
                <w:sz w:val="32"/>
                <w:szCs w:val="32"/>
                <w:u w:val="single"/>
              </w:rPr>
              <w:t>分包要求应载明是否允许中标（成交）供应商将本项目的非主体、非关键性工作进行分包</w:t>
            </w:r>
          </w:p>
        </w:tc>
      </w:tr>
      <w:tr w14:paraId="4596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F3CA1DF">
            <w:pPr>
              <w:adjustRightInd w:val="0"/>
              <w:snapToGrid w:val="0"/>
              <w:spacing w:line="560" w:lineRule="exact"/>
              <w:jc w:val="center"/>
              <w:rPr>
                <w:rFonts w:ascii="仿宋" w:hAnsi="仿宋" w:eastAsia="仿宋"/>
                <w:color w:val="auto"/>
                <w:sz w:val="28"/>
                <w:szCs w:val="28"/>
              </w:rPr>
            </w:pPr>
            <w:r>
              <w:rPr>
                <w:rFonts w:hint="eastAsia" w:ascii="仿宋" w:hAnsi="仿宋" w:eastAsia="仿宋"/>
                <w:color w:val="auto"/>
                <w:sz w:val="28"/>
                <w:szCs w:val="28"/>
              </w:rPr>
              <w:t>…</w:t>
            </w:r>
          </w:p>
        </w:tc>
        <w:tc>
          <w:tcPr>
            <w:tcW w:w="765" w:type="dxa"/>
            <w:noWrap w:val="0"/>
            <w:vAlign w:val="center"/>
          </w:tcPr>
          <w:p w14:paraId="02C86853">
            <w:pPr>
              <w:adjustRightInd w:val="0"/>
              <w:snapToGrid w:val="0"/>
              <w:spacing w:line="560" w:lineRule="exact"/>
              <w:jc w:val="center"/>
              <w:rPr>
                <w:rFonts w:ascii="仿宋" w:hAnsi="仿宋" w:eastAsia="仿宋"/>
                <w:color w:val="auto"/>
                <w:sz w:val="28"/>
                <w:szCs w:val="28"/>
              </w:rPr>
            </w:pPr>
            <w:r>
              <w:rPr>
                <w:rFonts w:hint="eastAsia" w:ascii="仿宋" w:hAnsi="仿宋" w:eastAsia="仿宋"/>
                <w:color w:val="auto"/>
                <w:sz w:val="28"/>
                <w:szCs w:val="28"/>
              </w:rPr>
              <w:t>…</w:t>
            </w:r>
          </w:p>
        </w:tc>
        <w:tc>
          <w:tcPr>
            <w:tcW w:w="1843" w:type="dxa"/>
            <w:noWrap w:val="0"/>
            <w:vAlign w:val="center"/>
          </w:tcPr>
          <w:p w14:paraId="16BFFB15">
            <w:pPr>
              <w:adjustRightInd w:val="0"/>
              <w:snapToGrid w:val="0"/>
              <w:spacing w:line="560" w:lineRule="exact"/>
              <w:jc w:val="center"/>
              <w:rPr>
                <w:rFonts w:ascii="仿宋" w:hAnsi="仿宋" w:eastAsia="仿宋"/>
                <w:i/>
                <w:color w:val="auto"/>
                <w:sz w:val="28"/>
                <w:szCs w:val="28"/>
                <w:u w:val="single"/>
              </w:rPr>
            </w:pPr>
            <w:r>
              <w:rPr>
                <w:rFonts w:hint="eastAsia" w:ascii="仿宋" w:hAnsi="仿宋" w:eastAsia="仿宋"/>
                <w:color w:val="auto"/>
                <w:sz w:val="28"/>
                <w:szCs w:val="28"/>
              </w:rPr>
              <w:t>……</w:t>
            </w:r>
          </w:p>
        </w:tc>
        <w:tc>
          <w:tcPr>
            <w:tcW w:w="1417" w:type="dxa"/>
            <w:noWrap w:val="0"/>
            <w:vAlign w:val="center"/>
          </w:tcPr>
          <w:p w14:paraId="1114E93A">
            <w:pPr>
              <w:adjustRightInd w:val="0"/>
              <w:snapToGrid w:val="0"/>
              <w:spacing w:line="560" w:lineRule="exact"/>
              <w:jc w:val="center"/>
              <w:rPr>
                <w:rFonts w:ascii="仿宋" w:hAnsi="仿宋" w:eastAsia="仿宋"/>
                <w:color w:val="auto"/>
                <w:sz w:val="28"/>
                <w:szCs w:val="28"/>
              </w:rPr>
            </w:pPr>
            <w:r>
              <w:rPr>
                <w:rFonts w:hint="eastAsia" w:ascii="仿宋" w:hAnsi="仿宋" w:eastAsia="仿宋"/>
                <w:color w:val="auto"/>
                <w:sz w:val="28"/>
                <w:szCs w:val="28"/>
              </w:rPr>
              <w:t>……</w:t>
            </w:r>
          </w:p>
        </w:tc>
        <w:tc>
          <w:tcPr>
            <w:tcW w:w="881" w:type="dxa"/>
            <w:noWrap w:val="0"/>
            <w:vAlign w:val="center"/>
          </w:tcPr>
          <w:p w14:paraId="2045EA8B">
            <w:pPr>
              <w:adjustRightInd w:val="0"/>
              <w:snapToGrid w:val="0"/>
              <w:spacing w:line="560" w:lineRule="exact"/>
              <w:jc w:val="center"/>
              <w:rPr>
                <w:rFonts w:ascii="仿宋" w:hAnsi="仿宋" w:eastAsia="仿宋"/>
                <w:color w:val="auto"/>
                <w:sz w:val="28"/>
                <w:szCs w:val="28"/>
              </w:rPr>
            </w:pPr>
            <w:r>
              <w:rPr>
                <w:rFonts w:hint="eastAsia" w:ascii="仿宋" w:hAnsi="仿宋" w:eastAsia="仿宋"/>
                <w:color w:val="auto"/>
                <w:sz w:val="28"/>
                <w:szCs w:val="28"/>
              </w:rPr>
              <w:t>……</w:t>
            </w:r>
          </w:p>
        </w:tc>
        <w:tc>
          <w:tcPr>
            <w:tcW w:w="850" w:type="dxa"/>
            <w:noWrap w:val="0"/>
            <w:vAlign w:val="center"/>
          </w:tcPr>
          <w:p w14:paraId="0824BF5F">
            <w:pPr>
              <w:adjustRightInd w:val="0"/>
              <w:snapToGrid w:val="0"/>
              <w:spacing w:line="560" w:lineRule="exact"/>
              <w:jc w:val="center"/>
              <w:rPr>
                <w:rFonts w:ascii="仿宋" w:hAnsi="仿宋" w:eastAsia="仿宋"/>
                <w:color w:val="auto"/>
                <w:sz w:val="28"/>
                <w:szCs w:val="28"/>
              </w:rPr>
            </w:pPr>
            <w:r>
              <w:rPr>
                <w:rFonts w:hint="eastAsia" w:ascii="仿宋" w:hAnsi="仿宋" w:eastAsia="仿宋"/>
                <w:color w:val="auto"/>
                <w:sz w:val="28"/>
                <w:szCs w:val="28"/>
              </w:rPr>
              <w:t>……</w:t>
            </w:r>
          </w:p>
        </w:tc>
        <w:tc>
          <w:tcPr>
            <w:tcW w:w="922" w:type="dxa"/>
            <w:noWrap w:val="0"/>
            <w:vAlign w:val="center"/>
          </w:tcPr>
          <w:p w14:paraId="01DC5743">
            <w:pPr>
              <w:adjustRightInd w:val="0"/>
              <w:snapToGrid w:val="0"/>
              <w:spacing w:line="560" w:lineRule="exact"/>
              <w:jc w:val="center"/>
              <w:rPr>
                <w:rFonts w:ascii="仿宋" w:hAnsi="仿宋" w:eastAsia="仿宋"/>
                <w:color w:val="auto"/>
                <w:sz w:val="28"/>
                <w:szCs w:val="28"/>
              </w:rPr>
            </w:pPr>
          </w:p>
        </w:tc>
        <w:tc>
          <w:tcPr>
            <w:tcW w:w="1954" w:type="dxa"/>
            <w:noWrap w:val="0"/>
            <w:vAlign w:val="center"/>
          </w:tcPr>
          <w:p w14:paraId="477C7FEC">
            <w:pPr>
              <w:adjustRightInd w:val="0"/>
              <w:snapToGrid w:val="0"/>
              <w:spacing w:line="560" w:lineRule="exact"/>
              <w:jc w:val="center"/>
              <w:rPr>
                <w:rFonts w:ascii="仿宋" w:hAnsi="仿宋" w:eastAsia="仿宋"/>
                <w:color w:val="auto"/>
                <w:sz w:val="28"/>
                <w:szCs w:val="28"/>
              </w:rPr>
            </w:pPr>
            <w:r>
              <w:rPr>
                <w:rFonts w:hint="eastAsia" w:ascii="仿宋" w:hAnsi="仿宋" w:eastAsia="仿宋"/>
                <w:color w:val="auto"/>
                <w:sz w:val="28"/>
                <w:szCs w:val="28"/>
              </w:rPr>
              <w:t>……</w:t>
            </w:r>
          </w:p>
        </w:tc>
      </w:tr>
    </w:tbl>
    <w:p w14:paraId="32E48D72">
      <w:pPr>
        <w:spacing w:line="560" w:lineRule="exact"/>
        <w:ind w:firstLine="640" w:firstLineChars="200"/>
        <w:jc w:val="left"/>
        <w:rPr>
          <w:rFonts w:ascii="仿宋" w:hAnsi="仿宋" w:eastAsia="仿宋"/>
          <w:i/>
          <w:color w:val="auto"/>
          <w:sz w:val="32"/>
          <w:szCs w:val="32"/>
          <w:u w:val="single"/>
        </w:rPr>
      </w:pPr>
      <w:r>
        <w:rPr>
          <w:rFonts w:hint="eastAsia" w:ascii="仿宋" w:hAnsi="仿宋" w:eastAsia="仿宋"/>
          <w:i/>
          <w:color w:val="auto"/>
          <w:sz w:val="32"/>
          <w:szCs w:val="32"/>
          <w:u w:val="single"/>
        </w:rPr>
        <w:t>选择采购进口的，还需填写以下内容</w:t>
      </w:r>
    </w:p>
    <w:p w14:paraId="5572EC41">
      <w:pPr>
        <w:spacing w:line="560" w:lineRule="exact"/>
        <w:ind w:firstLine="640" w:firstLineChars="200"/>
        <w:jc w:val="left"/>
        <w:rPr>
          <w:rFonts w:ascii="仿宋" w:hAnsi="仿宋" w:eastAsia="仿宋"/>
          <w:color w:val="auto"/>
          <w:sz w:val="32"/>
          <w:szCs w:val="32"/>
          <w:u w:val="single"/>
        </w:rPr>
      </w:pPr>
      <w:r>
        <w:rPr>
          <w:rFonts w:ascii="仿宋" w:hAnsi="仿宋" w:eastAsia="仿宋"/>
          <w:color w:val="auto"/>
          <w:sz w:val="32"/>
          <w:szCs w:val="32"/>
        </w:rPr>
        <w:t>采购进口产品报财政部门核准安排</w:t>
      </w:r>
      <w:r>
        <w:rPr>
          <w:rFonts w:hint="eastAsia" w:ascii="仿宋" w:hAnsi="仿宋" w:eastAsia="仿宋"/>
          <w:color w:val="auto"/>
          <w:sz w:val="32"/>
          <w:szCs w:val="32"/>
        </w:rPr>
        <w:t>：</w:t>
      </w:r>
      <w:r>
        <w:rPr>
          <w:rFonts w:hint="eastAsia" w:ascii="仿宋" w:hAnsi="仿宋" w:eastAsia="仿宋"/>
          <w:color w:val="auto"/>
          <w:sz w:val="32"/>
          <w:szCs w:val="32"/>
          <w:u w:val="single"/>
        </w:rPr>
        <w:t xml:space="preserve">                </w:t>
      </w:r>
    </w:p>
    <w:p w14:paraId="1F4DC5C5">
      <w:pPr>
        <w:keepNext w:val="0"/>
        <w:keepLines w:val="0"/>
        <w:pageBreakBefore w:val="0"/>
        <w:widowControl w:val="0"/>
        <w:numPr>
          <w:ilvl w:val="0"/>
          <w:numId w:val="0"/>
        </w:numPr>
        <w:kinsoku/>
        <w:wordWrap/>
        <w:overflowPunct/>
        <w:topLinePunct w:val="0"/>
        <w:autoSpaceDE/>
        <w:autoSpaceDN/>
        <w:bidi w:val="0"/>
        <w:spacing w:line="500" w:lineRule="exact"/>
        <w:ind w:firstLine="640" w:firstLineChars="200"/>
        <w:jc w:val="left"/>
        <w:textAlignment w:val="auto"/>
        <w:rPr>
          <w:rFonts w:hint="eastAsia" w:ascii="楷体_GB2312" w:hAnsi="楷体" w:eastAsia="楷体_GB2312" w:cs="Times New Roman"/>
          <w:color w:val="auto"/>
          <w:kern w:val="2"/>
          <w:sz w:val="32"/>
          <w:szCs w:val="32"/>
          <w:lang w:val="en-US" w:eastAsia="zh-CN" w:bidi="ar-SA"/>
        </w:rPr>
      </w:pPr>
    </w:p>
    <w:p w14:paraId="28EB9F90">
      <w:pPr>
        <w:keepNext w:val="0"/>
        <w:keepLines w:val="0"/>
        <w:pageBreakBefore w:val="0"/>
        <w:widowControl w:val="0"/>
        <w:numPr>
          <w:ilvl w:val="0"/>
          <w:numId w:val="0"/>
        </w:numPr>
        <w:kinsoku/>
        <w:wordWrap/>
        <w:overflowPunct/>
        <w:topLinePunct w:val="0"/>
        <w:autoSpaceDE/>
        <w:autoSpaceDN/>
        <w:bidi w:val="0"/>
        <w:spacing w:line="500" w:lineRule="exact"/>
        <w:ind w:firstLine="640" w:firstLineChars="200"/>
        <w:jc w:val="left"/>
        <w:textAlignment w:val="auto"/>
        <w:rPr>
          <w:rFonts w:hint="eastAsia" w:ascii="楷体_GB2312" w:hAnsi="楷体" w:eastAsia="楷体_GB2312"/>
          <w:color w:val="auto"/>
          <w:sz w:val="32"/>
          <w:szCs w:val="32"/>
        </w:rPr>
      </w:pPr>
      <w:r>
        <w:rPr>
          <w:rFonts w:hint="eastAsia" w:ascii="楷体_GB2312" w:hAnsi="楷体" w:eastAsia="楷体_GB2312" w:cs="Times New Roman"/>
          <w:color w:val="auto"/>
          <w:kern w:val="2"/>
          <w:sz w:val="32"/>
          <w:szCs w:val="32"/>
          <w:lang w:val="en-US" w:eastAsia="zh-CN" w:bidi="ar-SA"/>
        </w:rPr>
        <w:t>（二）</w:t>
      </w:r>
      <w:r>
        <w:rPr>
          <w:rFonts w:hint="eastAsia" w:ascii="楷体_GB2312" w:hAnsi="楷体" w:eastAsia="楷体_GB2312"/>
          <w:color w:val="auto"/>
          <w:sz w:val="32"/>
          <w:szCs w:val="32"/>
        </w:rPr>
        <w:t>评审规则</w:t>
      </w:r>
      <w:r>
        <w:rPr>
          <w:rFonts w:hint="eastAsia" w:ascii="楷体_GB2312" w:hAnsi="楷体" w:eastAsia="楷体_GB2312"/>
          <w:color w:val="auto"/>
          <w:sz w:val="32"/>
          <w:szCs w:val="32"/>
          <w:lang w:eastAsia="zh-CN"/>
        </w:rPr>
        <w:t>（</w:t>
      </w:r>
      <w:r>
        <w:rPr>
          <w:rFonts w:hint="eastAsia" w:ascii="楷体_GB2312" w:hAnsi="楷体" w:eastAsia="楷体_GB2312"/>
          <w:color w:val="auto"/>
          <w:sz w:val="32"/>
          <w:szCs w:val="32"/>
          <w:lang w:val="en-US" w:eastAsia="zh-CN"/>
        </w:rPr>
        <w:t>评分表仅供参考，可自拟</w:t>
      </w:r>
      <w:r>
        <w:rPr>
          <w:rFonts w:hint="eastAsia" w:ascii="楷体_GB2312" w:hAnsi="楷体" w:eastAsia="楷体_GB2312"/>
          <w:color w:val="auto"/>
          <w:sz w:val="32"/>
          <w:szCs w:val="32"/>
          <w:lang w:eastAsia="zh-CN"/>
        </w:rPr>
        <w:t>）</w:t>
      </w:r>
    </w:p>
    <w:p w14:paraId="17D84C92">
      <w:pPr>
        <w:keepNext w:val="0"/>
        <w:keepLines w:val="0"/>
        <w:pageBreakBefore w:val="0"/>
        <w:widowControl w:val="0"/>
        <w:numPr>
          <w:ilvl w:val="0"/>
          <w:numId w:val="0"/>
        </w:numPr>
        <w:kinsoku/>
        <w:wordWrap/>
        <w:overflowPunct/>
        <w:topLinePunct w:val="0"/>
        <w:autoSpaceDE/>
        <w:autoSpaceDN/>
        <w:bidi w:val="0"/>
        <w:spacing w:line="500" w:lineRule="exact"/>
        <w:ind w:firstLine="440" w:firstLineChars="200"/>
        <w:jc w:val="left"/>
        <w:textAlignment w:val="auto"/>
        <w:rPr>
          <w:rFonts w:hint="eastAsia" w:ascii="楷体_GB2312" w:hAnsi="楷体" w:eastAsia="楷体_GB2312"/>
          <w:color w:val="auto"/>
          <w:sz w:val="22"/>
          <w:szCs w:val="22"/>
        </w:rPr>
      </w:pPr>
      <w:r>
        <w:rPr>
          <w:rFonts w:hint="eastAsia" w:ascii="仿宋" w:hAnsi="仿宋" w:eastAsia="仿宋" w:cs="仿宋"/>
          <w:i/>
          <w:iCs/>
          <w:color w:val="auto"/>
          <w:sz w:val="22"/>
          <w:szCs w:val="22"/>
          <w:lang w:val="zh-CN"/>
        </w:rPr>
        <w:t>评审因素可根据项目采购需求对应设置，不得具有指向性、倾向性，不得排斥其他供应商参与竞争，不得以不合理条件对供应商进行差别待遇或者歧视待遇；拟采用竞争性谈判、询价、单一来源方式的采购项目无需提供评分标准</w:t>
      </w:r>
      <w:r>
        <w:rPr>
          <w:rFonts w:hint="eastAsia" w:ascii="楷体_GB2312" w:hAnsi="楷体" w:eastAsia="楷体_GB2312"/>
          <w:i/>
          <w:iCs/>
          <w:color w:val="auto"/>
          <w:sz w:val="22"/>
          <w:szCs w:val="22"/>
          <w:lang w:val="zh-CN"/>
        </w:rPr>
        <w:t>。</w:t>
      </w:r>
    </w:p>
    <w:p w14:paraId="0CE324E5">
      <w:pPr>
        <w:keepNext w:val="0"/>
        <w:keepLines w:val="0"/>
        <w:pageBreakBefore w:val="0"/>
        <w:widowControl w:val="0"/>
        <w:kinsoku/>
        <w:wordWrap/>
        <w:overflowPunct/>
        <w:topLinePunct w:val="0"/>
        <w:autoSpaceDE/>
        <w:autoSpaceDN/>
        <w:bidi w:val="0"/>
        <w:spacing w:line="500" w:lineRule="exact"/>
        <w:ind w:firstLine="440" w:firstLineChars="200"/>
        <w:jc w:val="left"/>
        <w:textAlignment w:val="auto"/>
        <w:rPr>
          <w:rFonts w:hint="eastAsia" w:ascii="仿宋" w:hAnsi="仿宋" w:eastAsia="仿宋" w:cs="仿宋"/>
          <w:i/>
          <w:color w:val="auto"/>
          <w:sz w:val="22"/>
          <w:szCs w:val="22"/>
          <w:u w:val="none"/>
        </w:rPr>
      </w:pPr>
      <w:r>
        <w:rPr>
          <w:rFonts w:hint="eastAsia" w:ascii="仿宋" w:hAnsi="仿宋" w:eastAsia="仿宋" w:cs="仿宋"/>
          <w:i/>
          <w:color w:val="auto"/>
          <w:sz w:val="22"/>
          <w:szCs w:val="22"/>
          <w:u w:val="none"/>
        </w:rPr>
        <w:t>应落实支持创新、绿色发展、中小企业发展等政府采购政策功能。</w:t>
      </w:r>
    </w:p>
    <w:p w14:paraId="1F8BBF88">
      <w:pPr>
        <w:keepNext w:val="0"/>
        <w:keepLines w:val="0"/>
        <w:pageBreakBefore w:val="0"/>
        <w:widowControl w:val="0"/>
        <w:numPr>
          <w:ilvl w:val="0"/>
          <w:numId w:val="0"/>
        </w:numPr>
        <w:kinsoku/>
        <w:wordWrap/>
        <w:overflowPunct/>
        <w:topLinePunct w:val="0"/>
        <w:autoSpaceDE/>
        <w:autoSpaceDN/>
        <w:bidi w:val="0"/>
        <w:spacing w:line="5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SA"/>
        </w:rPr>
        <w:t>1.</w:t>
      </w:r>
      <w:r>
        <w:rPr>
          <w:rFonts w:hint="eastAsia" w:ascii="仿宋" w:hAnsi="仿宋" w:eastAsia="仿宋" w:cs="仿宋"/>
          <w:color w:val="auto"/>
          <w:sz w:val="32"/>
          <w:szCs w:val="32"/>
        </w:rPr>
        <w:t>包1</w:t>
      </w:r>
    </w:p>
    <w:p w14:paraId="3D6F8590">
      <w:pPr>
        <w:pStyle w:val="2"/>
        <w:rPr>
          <w:rFonts w:hint="eastAsia"/>
        </w:rPr>
      </w:pPr>
    </w:p>
    <w:p w14:paraId="713132A6">
      <w:pPr>
        <w:pStyle w:val="2"/>
        <w:rPr>
          <w:rFonts w:hint="eastAsia"/>
        </w:rPr>
      </w:pPr>
    </w:p>
    <w:tbl>
      <w:tblPr>
        <w:tblStyle w:val="4"/>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155"/>
        <w:gridCol w:w="795"/>
        <w:gridCol w:w="6757"/>
      </w:tblGrid>
      <w:tr w14:paraId="71778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370" w:type="dxa"/>
            <w:gridSpan w:val="2"/>
            <w:noWrap w:val="0"/>
            <w:vAlign w:val="center"/>
          </w:tcPr>
          <w:p w14:paraId="3227B766">
            <w:pPr>
              <w:keepNext w:val="0"/>
              <w:keepLines w:val="0"/>
              <w:pageBreakBefore w:val="0"/>
              <w:widowControl w:val="0"/>
              <w:kinsoku/>
              <w:wordWrap/>
              <w:overflowPunct/>
              <w:topLinePunct w:val="0"/>
              <w:autoSpaceDE/>
              <w:autoSpaceDN/>
              <w:bidi w:val="0"/>
              <w:spacing w:line="320" w:lineRule="exact"/>
              <w:jc w:val="center"/>
              <w:textAlignment w:val="auto"/>
              <w:rPr>
                <w:rFonts w:hint="eastAsia" w:ascii="仿宋" w:hAnsi="仿宋" w:eastAsia="仿宋" w:cs="仿宋"/>
                <w:b/>
                <w:bCs w:val="0"/>
                <w:color w:val="auto"/>
                <w:sz w:val="22"/>
                <w:szCs w:val="22"/>
              </w:rPr>
            </w:pPr>
            <w:r>
              <w:rPr>
                <w:rFonts w:hint="eastAsia" w:ascii="仿宋" w:hAnsi="仿宋" w:eastAsia="仿宋" w:cs="仿宋"/>
                <w:b/>
                <w:bCs w:val="0"/>
                <w:color w:val="auto"/>
                <w:sz w:val="22"/>
                <w:szCs w:val="22"/>
              </w:rPr>
              <w:t>评审因素</w:t>
            </w:r>
          </w:p>
        </w:tc>
        <w:tc>
          <w:tcPr>
            <w:tcW w:w="795" w:type="dxa"/>
            <w:noWrap w:val="0"/>
            <w:vAlign w:val="center"/>
          </w:tcPr>
          <w:p w14:paraId="374BEFFF">
            <w:pPr>
              <w:keepNext w:val="0"/>
              <w:keepLines w:val="0"/>
              <w:pageBreakBefore w:val="0"/>
              <w:widowControl w:val="0"/>
              <w:kinsoku/>
              <w:wordWrap/>
              <w:overflowPunct/>
              <w:topLinePunct w:val="0"/>
              <w:autoSpaceDE/>
              <w:autoSpaceDN/>
              <w:bidi w:val="0"/>
              <w:spacing w:line="320" w:lineRule="exact"/>
              <w:jc w:val="center"/>
              <w:textAlignment w:val="auto"/>
              <w:rPr>
                <w:rFonts w:hint="default" w:eastAsia="仿宋"/>
                <w:lang w:val="en-US" w:eastAsia="zh-CN"/>
              </w:rPr>
            </w:pPr>
            <w:r>
              <w:rPr>
                <w:rFonts w:hint="eastAsia" w:ascii="仿宋" w:hAnsi="仿宋" w:eastAsia="仿宋" w:cs="仿宋"/>
                <w:b/>
                <w:bCs w:val="0"/>
                <w:color w:val="auto"/>
                <w:sz w:val="22"/>
                <w:szCs w:val="22"/>
              </w:rPr>
              <w:t>分值</w:t>
            </w:r>
          </w:p>
        </w:tc>
        <w:tc>
          <w:tcPr>
            <w:tcW w:w="6757" w:type="dxa"/>
            <w:noWrap w:val="0"/>
            <w:vAlign w:val="center"/>
          </w:tcPr>
          <w:p w14:paraId="3021DDED">
            <w:pPr>
              <w:keepNext w:val="0"/>
              <w:keepLines w:val="0"/>
              <w:pageBreakBefore w:val="0"/>
              <w:widowControl w:val="0"/>
              <w:kinsoku/>
              <w:wordWrap/>
              <w:overflowPunct/>
              <w:topLinePunct w:val="0"/>
              <w:autoSpaceDE/>
              <w:autoSpaceDN/>
              <w:bidi w:val="0"/>
              <w:spacing w:line="320" w:lineRule="exact"/>
              <w:jc w:val="center"/>
              <w:textAlignment w:val="auto"/>
              <w:rPr>
                <w:rFonts w:hint="eastAsia" w:ascii="仿宋" w:hAnsi="仿宋" w:eastAsia="仿宋" w:cs="仿宋"/>
                <w:b/>
                <w:bCs w:val="0"/>
                <w:color w:val="auto"/>
                <w:sz w:val="22"/>
                <w:szCs w:val="22"/>
              </w:rPr>
            </w:pPr>
            <w:r>
              <w:rPr>
                <w:rFonts w:hint="eastAsia" w:ascii="仿宋" w:hAnsi="仿宋" w:eastAsia="仿宋" w:cs="仿宋"/>
                <w:b/>
                <w:bCs w:val="0"/>
                <w:color w:val="auto"/>
                <w:sz w:val="22"/>
                <w:szCs w:val="22"/>
              </w:rPr>
              <w:t>评分标准</w:t>
            </w:r>
          </w:p>
        </w:tc>
      </w:tr>
      <w:tr w14:paraId="1F3E7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2370" w:type="dxa"/>
            <w:gridSpan w:val="2"/>
            <w:noWrap w:val="0"/>
            <w:vAlign w:val="center"/>
          </w:tcPr>
          <w:p w14:paraId="50882C4A">
            <w:pPr>
              <w:keepNext w:val="0"/>
              <w:keepLines w:val="0"/>
              <w:pageBreakBefore w:val="0"/>
              <w:widowControl w:val="0"/>
              <w:kinsoku/>
              <w:wordWrap/>
              <w:overflowPunct/>
              <w:topLinePunct w:val="0"/>
              <w:autoSpaceDE/>
              <w:autoSpaceDN/>
              <w:bidi w:val="0"/>
              <w:spacing w:line="320" w:lineRule="exact"/>
              <w:jc w:val="center"/>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rPr>
              <w:t>价格部分</w:t>
            </w:r>
          </w:p>
          <w:p w14:paraId="2A64E9D5">
            <w:pPr>
              <w:keepNext w:val="0"/>
              <w:keepLines w:val="0"/>
              <w:pageBreakBefore w:val="0"/>
              <w:widowControl w:val="0"/>
              <w:kinsoku/>
              <w:wordWrap/>
              <w:overflowPunct/>
              <w:topLinePunct w:val="0"/>
              <w:autoSpaceDE/>
              <w:autoSpaceDN/>
              <w:bidi w:val="0"/>
              <w:spacing w:line="320" w:lineRule="exact"/>
              <w:jc w:val="center"/>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lang w:val="en-US" w:eastAsia="zh-CN"/>
              </w:rPr>
              <w:t>（50分）</w:t>
            </w:r>
          </w:p>
        </w:tc>
        <w:tc>
          <w:tcPr>
            <w:tcW w:w="795" w:type="dxa"/>
            <w:noWrap w:val="0"/>
            <w:vAlign w:val="center"/>
          </w:tcPr>
          <w:p w14:paraId="4BF9140E">
            <w:pPr>
              <w:keepNext w:val="0"/>
              <w:keepLines w:val="0"/>
              <w:pageBreakBefore w:val="0"/>
              <w:widowControl w:val="0"/>
              <w:kinsoku/>
              <w:wordWrap/>
              <w:overflowPunct/>
              <w:topLinePunct w:val="0"/>
              <w:autoSpaceDE/>
              <w:autoSpaceDN/>
              <w:bidi w:val="0"/>
              <w:spacing w:line="320" w:lineRule="exact"/>
              <w:jc w:val="center"/>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pacing w:val="-6"/>
                <w:sz w:val="22"/>
                <w:szCs w:val="22"/>
              </w:rPr>
              <w:t>50分</w:t>
            </w:r>
          </w:p>
        </w:tc>
        <w:tc>
          <w:tcPr>
            <w:tcW w:w="6757" w:type="dxa"/>
            <w:noWrap w:val="0"/>
            <w:vAlign w:val="center"/>
          </w:tcPr>
          <w:p w14:paraId="0979E1DE">
            <w:pPr>
              <w:keepNext w:val="0"/>
              <w:keepLines w:val="0"/>
              <w:pageBreakBefore w:val="0"/>
              <w:widowControl w:val="0"/>
              <w:kinsoku/>
              <w:wordWrap/>
              <w:overflowPunct/>
              <w:topLinePunct w:val="0"/>
              <w:autoSpaceDE/>
              <w:autoSpaceDN/>
              <w:bidi w:val="0"/>
              <w:spacing w:line="320" w:lineRule="exact"/>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rPr>
              <w:t>1.综合评分法中的价格分统一采用低价优先法计算，即满足招标文件要求且投标价格最低的投标报价为评标基准价，其价格分为满分。</w:t>
            </w:r>
          </w:p>
          <w:p w14:paraId="0452A59A">
            <w:pPr>
              <w:keepNext w:val="0"/>
              <w:keepLines w:val="0"/>
              <w:pageBreakBefore w:val="0"/>
              <w:widowControl w:val="0"/>
              <w:kinsoku/>
              <w:wordWrap/>
              <w:overflowPunct/>
              <w:topLinePunct w:val="0"/>
              <w:autoSpaceDE/>
              <w:autoSpaceDN/>
              <w:bidi w:val="0"/>
              <w:spacing w:line="320" w:lineRule="exact"/>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rPr>
              <w:t>2.其他投标人的价格分统一按照下列公式计算：</w:t>
            </w:r>
          </w:p>
          <w:p w14:paraId="1BBAF79B">
            <w:pPr>
              <w:keepNext w:val="0"/>
              <w:keepLines w:val="0"/>
              <w:pageBreakBefore w:val="0"/>
              <w:widowControl w:val="0"/>
              <w:kinsoku/>
              <w:wordWrap/>
              <w:overflowPunct/>
              <w:topLinePunct w:val="0"/>
              <w:autoSpaceDE/>
              <w:autoSpaceDN/>
              <w:bidi w:val="0"/>
              <w:spacing w:line="320" w:lineRule="exact"/>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rPr>
              <w:t>投标报价得分=(评标基准价／投标报价)×100×价格标权重。</w:t>
            </w:r>
          </w:p>
          <w:p w14:paraId="0F960C42">
            <w:pPr>
              <w:keepNext w:val="0"/>
              <w:keepLines w:val="0"/>
              <w:pageBreakBefore w:val="0"/>
              <w:widowControl w:val="0"/>
              <w:kinsoku/>
              <w:wordWrap/>
              <w:overflowPunct/>
              <w:topLinePunct w:val="0"/>
              <w:autoSpaceDE/>
              <w:autoSpaceDN/>
              <w:bidi w:val="0"/>
              <w:spacing w:line="320" w:lineRule="exact"/>
              <w:jc w:val="left"/>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rPr>
              <w:t>注：因落实政府采购政策进行价格调整的，以调整后的价格计算评标基准价和投标报价。</w:t>
            </w:r>
          </w:p>
        </w:tc>
      </w:tr>
      <w:tr w14:paraId="5E2D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5" w:hRule="atLeast"/>
          <w:jc w:val="center"/>
        </w:trPr>
        <w:tc>
          <w:tcPr>
            <w:tcW w:w="1215" w:type="dxa"/>
            <w:vMerge w:val="restart"/>
            <w:noWrap w:val="0"/>
            <w:vAlign w:val="center"/>
          </w:tcPr>
          <w:p w14:paraId="795137EE">
            <w:pPr>
              <w:keepNext w:val="0"/>
              <w:keepLines w:val="0"/>
              <w:pageBreakBefore w:val="0"/>
              <w:widowControl w:val="0"/>
              <w:kinsoku/>
              <w:wordWrap/>
              <w:overflowPunct/>
              <w:topLinePunct w:val="0"/>
              <w:autoSpaceDE/>
              <w:autoSpaceDN/>
              <w:bidi w:val="0"/>
              <w:spacing w:line="320" w:lineRule="exact"/>
              <w:jc w:val="center"/>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rPr>
              <w:t>技术部分</w:t>
            </w:r>
          </w:p>
          <w:p w14:paraId="234C0F81">
            <w:pPr>
              <w:keepNext w:val="0"/>
              <w:keepLines w:val="0"/>
              <w:pageBreakBefore w:val="0"/>
              <w:widowControl w:val="0"/>
              <w:kinsoku/>
              <w:wordWrap/>
              <w:overflowPunct/>
              <w:topLinePunct w:val="0"/>
              <w:autoSpaceDE/>
              <w:autoSpaceDN/>
              <w:bidi w:val="0"/>
              <w:spacing w:line="320" w:lineRule="exact"/>
              <w:jc w:val="center"/>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rPr>
              <w:t>（40分）</w:t>
            </w:r>
          </w:p>
        </w:tc>
        <w:tc>
          <w:tcPr>
            <w:tcW w:w="1155" w:type="dxa"/>
            <w:noWrap w:val="0"/>
            <w:vAlign w:val="center"/>
          </w:tcPr>
          <w:p w14:paraId="48EA5A16">
            <w:pPr>
              <w:keepNext w:val="0"/>
              <w:keepLines w:val="0"/>
              <w:pageBreakBefore w:val="0"/>
              <w:widowControl w:val="0"/>
              <w:kinsoku/>
              <w:wordWrap/>
              <w:overflowPunct/>
              <w:topLinePunct w:val="0"/>
              <w:autoSpaceDE/>
              <w:autoSpaceDN/>
              <w:bidi w:val="0"/>
              <w:spacing w:line="320" w:lineRule="exact"/>
              <w:jc w:val="center"/>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rPr>
              <w:t>技术参数</w:t>
            </w:r>
          </w:p>
        </w:tc>
        <w:tc>
          <w:tcPr>
            <w:tcW w:w="795" w:type="dxa"/>
            <w:noWrap w:val="0"/>
            <w:vAlign w:val="center"/>
          </w:tcPr>
          <w:p w14:paraId="0A4DD81D">
            <w:pPr>
              <w:keepNext w:val="0"/>
              <w:keepLines w:val="0"/>
              <w:pageBreakBefore w:val="0"/>
              <w:widowControl w:val="0"/>
              <w:kinsoku/>
              <w:wordWrap/>
              <w:overflowPunct/>
              <w:topLinePunct w:val="0"/>
              <w:autoSpaceDE/>
              <w:autoSpaceDN/>
              <w:bidi w:val="0"/>
              <w:spacing w:line="320" w:lineRule="exact"/>
              <w:jc w:val="center"/>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pacing w:val="-6"/>
                <w:sz w:val="22"/>
                <w:szCs w:val="22"/>
              </w:rPr>
              <w:t>35分</w:t>
            </w:r>
          </w:p>
        </w:tc>
        <w:tc>
          <w:tcPr>
            <w:tcW w:w="6757" w:type="dxa"/>
            <w:noWrap w:val="0"/>
            <w:vAlign w:val="center"/>
          </w:tcPr>
          <w:p w14:paraId="50771303">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rPr>
              <w:t>根据产品技术和性能响应情况评审，本项目共计X项</w:t>
            </w:r>
            <w:r>
              <w:rPr>
                <w:rFonts w:hint="eastAsia" w:ascii="仿宋" w:hAnsi="仿宋" w:eastAsia="仿宋" w:cs="仿宋"/>
                <w:b w:val="0"/>
                <w:bCs/>
                <w:color w:val="auto"/>
                <w:sz w:val="22"/>
                <w:szCs w:val="22"/>
                <w:lang w:eastAsia="zh-CN"/>
              </w:rPr>
              <w:t>▲</w:t>
            </w:r>
            <w:r>
              <w:rPr>
                <w:rFonts w:hint="eastAsia" w:ascii="仿宋" w:hAnsi="仿宋" w:eastAsia="仿宋" w:cs="仿宋"/>
                <w:b w:val="0"/>
                <w:bCs/>
                <w:color w:val="auto"/>
                <w:sz w:val="22"/>
                <w:szCs w:val="22"/>
              </w:rPr>
              <w:t>参数，X项一般参数。</w:t>
            </w:r>
          </w:p>
          <w:p w14:paraId="63CB20F0">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rPr>
              <w:t>（以5项</w:t>
            </w:r>
            <w:r>
              <w:rPr>
                <w:rFonts w:hint="eastAsia" w:ascii="仿宋" w:hAnsi="仿宋" w:eastAsia="仿宋" w:cs="仿宋"/>
                <w:b w:val="0"/>
                <w:bCs/>
                <w:color w:val="auto"/>
                <w:sz w:val="22"/>
                <w:szCs w:val="22"/>
                <w:lang w:eastAsia="zh-CN"/>
              </w:rPr>
              <w:t>▲</w:t>
            </w:r>
            <w:r>
              <w:rPr>
                <w:rFonts w:hint="eastAsia" w:ascii="仿宋" w:hAnsi="仿宋" w:eastAsia="仿宋" w:cs="仿宋"/>
                <w:b w:val="0"/>
                <w:bCs/>
                <w:color w:val="auto"/>
                <w:sz w:val="22"/>
                <w:szCs w:val="22"/>
              </w:rPr>
              <w:t>参数，10项一般参数为示例，应注意换算，合计不超过35分，提交时删除此红色部分）：</w:t>
            </w:r>
          </w:p>
          <w:p w14:paraId="5DBC839F">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rPr>
              <w:t>1</w:t>
            </w:r>
            <w:r>
              <w:rPr>
                <w:rFonts w:hint="eastAsia" w:ascii="仿宋" w:hAnsi="仿宋" w:eastAsia="仿宋" w:cs="仿宋"/>
                <w:b w:val="0"/>
                <w:bCs/>
                <w:color w:val="auto"/>
                <w:sz w:val="22"/>
                <w:szCs w:val="22"/>
                <w:lang w:eastAsia="zh-CN"/>
              </w:rPr>
              <w:t>.</w:t>
            </w:r>
            <w:r>
              <w:rPr>
                <w:rFonts w:hint="eastAsia" w:ascii="仿宋" w:hAnsi="仿宋" w:eastAsia="仿宋" w:cs="仿宋"/>
                <w:b w:val="0"/>
                <w:bCs/>
                <w:color w:val="auto"/>
                <w:sz w:val="22"/>
                <w:szCs w:val="22"/>
              </w:rPr>
              <w:t>完全满足采购技术要求的，得35分；</w:t>
            </w:r>
          </w:p>
          <w:p w14:paraId="467620B7">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rPr>
              <w:t>2</w:t>
            </w:r>
            <w:r>
              <w:rPr>
                <w:rFonts w:hint="eastAsia" w:ascii="仿宋" w:hAnsi="仿宋" w:eastAsia="仿宋" w:cs="仿宋"/>
                <w:b w:val="0"/>
                <w:bCs/>
                <w:color w:val="auto"/>
                <w:sz w:val="22"/>
                <w:szCs w:val="22"/>
                <w:lang w:eastAsia="zh-CN"/>
              </w:rPr>
              <w:t>.</w:t>
            </w:r>
            <w:r>
              <w:rPr>
                <w:rFonts w:hint="eastAsia" w:ascii="仿宋" w:hAnsi="仿宋" w:eastAsia="仿宋" w:cs="仿宋"/>
                <w:b w:val="0"/>
                <w:bCs/>
                <w:color w:val="auto"/>
                <w:sz w:val="22"/>
                <w:szCs w:val="22"/>
              </w:rPr>
              <w:t>每有一项</w:t>
            </w:r>
            <w:r>
              <w:rPr>
                <w:rFonts w:hint="eastAsia" w:ascii="仿宋" w:hAnsi="仿宋" w:eastAsia="仿宋" w:cs="仿宋"/>
                <w:b w:val="0"/>
                <w:bCs/>
                <w:color w:val="auto"/>
                <w:sz w:val="22"/>
                <w:szCs w:val="22"/>
                <w:lang w:eastAsia="zh-CN"/>
              </w:rPr>
              <w:t>▲</w:t>
            </w:r>
            <w:r>
              <w:rPr>
                <w:rFonts w:hint="eastAsia" w:ascii="仿宋" w:hAnsi="仿宋" w:eastAsia="仿宋" w:cs="仿宋"/>
                <w:b w:val="0"/>
                <w:bCs/>
                <w:color w:val="auto"/>
                <w:sz w:val="22"/>
                <w:szCs w:val="22"/>
              </w:rPr>
              <w:t>参数负偏离的，扣4分；</w:t>
            </w:r>
          </w:p>
          <w:p w14:paraId="6CCB356D">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rPr>
              <w:t>3</w:t>
            </w:r>
            <w:r>
              <w:rPr>
                <w:rFonts w:hint="eastAsia" w:ascii="仿宋" w:hAnsi="仿宋" w:eastAsia="仿宋" w:cs="仿宋"/>
                <w:b w:val="0"/>
                <w:bCs/>
                <w:color w:val="auto"/>
                <w:sz w:val="22"/>
                <w:szCs w:val="22"/>
                <w:lang w:eastAsia="zh-CN"/>
              </w:rPr>
              <w:t>.</w:t>
            </w:r>
            <w:r>
              <w:rPr>
                <w:rFonts w:hint="eastAsia" w:ascii="仿宋" w:hAnsi="仿宋" w:eastAsia="仿宋" w:cs="仿宋"/>
                <w:b w:val="0"/>
                <w:bCs/>
                <w:color w:val="auto"/>
                <w:sz w:val="22"/>
                <w:szCs w:val="22"/>
              </w:rPr>
              <w:t>每有一项一般参数负偏离的，扣1.5分；</w:t>
            </w:r>
          </w:p>
          <w:p w14:paraId="44A946CB">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rPr>
              <w:t>（投标人须提供包含相关指标项的证明材料，证明材料可以使用生产厂家官方网站截图或产品白皮书或第三方机构检验报告或其他相关证明材料，未提供有效证明材料或证明材料中内容与所填报指标不一致的，该指标按不满足处理。如招标文件第三章采购需求中对需要证明材料有明确要求的，以第三章采购需求为准。）</w:t>
            </w:r>
          </w:p>
        </w:tc>
      </w:tr>
      <w:tr w14:paraId="4CE65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1215" w:type="dxa"/>
            <w:vMerge w:val="continue"/>
            <w:noWrap w:val="0"/>
            <w:vAlign w:val="center"/>
          </w:tcPr>
          <w:p w14:paraId="5E7D35B6">
            <w:pPr>
              <w:keepNext w:val="0"/>
              <w:keepLines w:val="0"/>
              <w:pageBreakBefore w:val="0"/>
              <w:widowControl w:val="0"/>
              <w:kinsoku/>
              <w:wordWrap/>
              <w:overflowPunct/>
              <w:topLinePunct w:val="0"/>
              <w:autoSpaceDE/>
              <w:autoSpaceDN/>
              <w:bidi w:val="0"/>
              <w:spacing w:line="320" w:lineRule="exact"/>
              <w:jc w:val="center"/>
              <w:textAlignment w:val="auto"/>
              <w:rPr>
                <w:rFonts w:hint="eastAsia" w:ascii="仿宋" w:hAnsi="仿宋" w:eastAsia="仿宋" w:cs="仿宋"/>
                <w:b w:val="0"/>
                <w:bCs/>
                <w:color w:val="auto"/>
                <w:sz w:val="22"/>
                <w:szCs w:val="22"/>
              </w:rPr>
            </w:pPr>
          </w:p>
        </w:tc>
        <w:tc>
          <w:tcPr>
            <w:tcW w:w="1155" w:type="dxa"/>
            <w:noWrap w:val="0"/>
            <w:vAlign w:val="center"/>
          </w:tcPr>
          <w:p w14:paraId="245AD640">
            <w:pPr>
              <w:keepNext w:val="0"/>
              <w:keepLines w:val="0"/>
              <w:pageBreakBefore w:val="0"/>
              <w:widowControl w:val="0"/>
              <w:kinsoku/>
              <w:wordWrap/>
              <w:overflowPunct/>
              <w:topLinePunct w:val="0"/>
              <w:autoSpaceDE/>
              <w:autoSpaceDN/>
              <w:bidi w:val="0"/>
              <w:spacing w:line="320" w:lineRule="exact"/>
              <w:jc w:val="center"/>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rPr>
              <w:t>质量保证措施</w:t>
            </w:r>
          </w:p>
        </w:tc>
        <w:tc>
          <w:tcPr>
            <w:tcW w:w="795" w:type="dxa"/>
            <w:noWrap w:val="0"/>
            <w:vAlign w:val="center"/>
          </w:tcPr>
          <w:p w14:paraId="0D28AF3D">
            <w:pPr>
              <w:keepNext w:val="0"/>
              <w:keepLines w:val="0"/>
              <w:pageBreakBefore w:val="0"/>
              <w:widowControl w:val="0"/>
              <w:kinsoku/>
              <w:wordWrap/>
              <w:overflowPunct/>
              <w:topLinePunct w:val="0"/>
              <w:autoSpaceDE/>
              <w:autoSpaceDN/>
              <w:bidi w:val="0"/>
              <w:spacing w:line="320" w:lineRule="exact"/>
              <w:jc w:val="center"/>
              <w:textAlignment w:val="auto"/>
              <w:rPr>
                <w:rFonts w:hint="eastAsia" w:ascii="仿宋" w:hAnsi="仿宋" w:eastAsia="仿宋" w:cs="仿宋"/>
                <w:b w:val="0"/>
                <w:bCs/>
                <w:color w:val="auto"/>
                <w:spacing w:val="-6"/>
                <w:sz w:val="22"/>
                <w:szCs w:val="22"/>
              </w:rPr>
            </w:pPr>
            <w:r>
              <w:rPr>
                <w:rFonts w:hint="eastAsia" w:ascii="仿宋" w:hAnsi="仿宋" w:eastAsia="仿宋" w:cs="仿宋"/>
                <w:b w:val="0"/>
                <w:bCs/>
                <w:color w:val="auto"/>
                <w:spacing w:val="-6"/>
                <w:sz w:val="22"/>
                <w:szCs w:val="22"/>
              </w:rPr>
              <w:t>3分</w:t>
            </w:r>
          </w:p>
        </w:tc>
        <w:tc>
          <w:tcPr>
            <w:tcW w:w="6757" w:type="dxa"/>
            <w:noWrap w:val="0"/>
            <w:vAlign w:val="center"/>
          </w:tcPr>
          <w:p w14:paraId="5C9A6F71">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rPr>
              <w:t>根据投标人提供的质量保证措施进行评审。</w:t>
            </w:r>
          </w:p>
          <w:p w14:paraId="5CEF82FD">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lang w:val="en-US" w:eastAsia="zh-CN"/>
              </w:rPr>
              <w:t>1.</w:t>
            </w:r>
            <w:r>
              <w:rPr>
                <w:rFonts w:hint="eastAsia" w:ascii="仿宋" w:hAnsi="仿宋" w:eastAsia="仿宋" w:cs="仿宋"/>
                <w:b w:val="0"/>
                <w:bCs/>
                <w:color w:val="auto"/>
                <w:sz w:val="22"/>
                <w:szCs w:val="22"/>
              </w:rPr>
              <w:t>质量保证措施科学详细，能确保项目顺利实施及实施质量，并提供产品质量承诺函，承诺内容完整、针对性强的得3分。</w:t>
            </w:r>
          </w:p>
          <w:p w14:paraId="1827C6AB">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lang w:val="en-US" w:eastAsia="zh-CN"/>
              </w:rPr>
              <w:t>2.</w:t>
            </w:r>
            <w:r>
              <w:rPr>
                <w:rFonts w:hint="eastAsia" w:ascii="仿宋" w:hAnsi="仿宋" w:eastAsia="仿宋" w:cs="仿宋"/>
                <w:b w:val="0"/>
                <w:bCs/>
                <w:color w:val="auto"/>
                <w:sz w:val="22"/>
                <w:szCs w:val="22"/>
              </w:rPr>
              <w:t>质量保证措施合理可行，能满足项目基本需求的得2分。</w:t>
            </w:r>
          </w:p>
          <w:p w14:paraId="74EC2439">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lang w:val="en-US" w:eastAsia="zh-CN"/>
              </w:rPr>
              <w:t>3.</w:t>
            </w:r>
            <w:r>
              <w:rPr>
                <w:rFonts w:hint="eastAsia" w:ascii="仿宋" w:hAnsi="仿宋" w:eastAsia="仿宋" w:cs="仿宋"/>
                <w:b w:val="0"/>
                <w:bCs/>
                <w:color w:val="auto"/>
                <w:sz w:val="22"/>
                <w:szCs w:val="22"/>
              </w:rPr>
              <w:t>质量保证措施内容粗略或有所欠缺，内容有待完善得1分。</w:t>
            </w:r>
          </w:p>
          <w:p w14:paraId="56B658ED">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lang w:val="en-US" w:eastAsia="zh-CN"/>
              </w:rPr>
              <w:t>4.</w:t>
            </w:r>
            <w:r>
              <w:rPr>
                <w:rFonts w:hint="eastAsia" w:ascii="仿宋" w:hAnsi="仿宋" w:eastAsia="仿宋" w:cs="仿宋"/>
                <w:b w:val="0"/>
                <w:bCs/>
                <w:color w:val="auto"/>
                <w:sz w:val="22"/>
                <w:szCs w:val="22"/>
              </w:rPr>
              <w:t>未提供质量保证措施不得分。</w:t>
            </w:r>
          </w:p>
        </w:tc>
      </w:tr>
      <w:tr w14:paraId="7213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1215" w:type="dxa"/>
            <w:vMerge w:val="continue"/>
            <w:noWrap w:val="0"/>
            <w:vAlign w:val="center"/>
          </w:tcPr>
          <w:p w14:paraId="6904AEC6">
            <w:pPr>
              <w:keepNext w:val="0"/>
              <w:keepLines w:val="0"/>
              <w:pageBreakBefore w:val="0"/>
              <w:widowControl w:val="0"/>
              <w:kinsoku/>
              <w:wordWrap/>
              <w:overflowPunct/>
              <w:topLinePunct w:val="0"/>
              <w:autoSpaceDE/>
              <w:autoSpaceDN/>
              <w:bidi w:val="0"/>
              <w:spacing w:line="320" w:lineRule="exact"/>
              <w:jc w:val="center"/>
              <w:textAlignment w:val="auto"/>
              <w:rPr>
                <w:rFonts w:hint="eastAsia" w:ascii="仿宋" w:hAnsi="仿宋" w:eastAsia="仿宋" w:cs="仿宋"/>
                <w:b w:val="0"/>
                <w:bCs/>
                <w:color w:val="auto"/>
                <w:sz w:val="22"/>
                <w:szCs w:val="22"/>
              </w:rPr>
            </w:pPr>
          </w:p>
        </w:tc>
        <w:tc>
          <w:tcPr>
            <w:tcW w:w="1155" w:type="dxa"/>
            <w:noWrap w:val="0"/>
            <w:vAlign w:val="center"/>
          </w:tcPr>
          <w:p w14:paraId="7D7213A5">
            <w:pPr>
              <w:keepNext w:val="0"/>
              <w:keepLines w:val="0"/>
              <w:pageBreakBefore w:val="0"/>
              <w:widowControl w:val="0"/>
              <w:kinsoku/>
              <w:wordWrap/>
              <w:overflowPunct/>
              <w:topLinePunct w:val="0"/>
              <w:autoSpaceDE/>
              <w:autoSpaceDN/>
              <w:bidi w:val="0"/>
              <w:spacing w:line="320" w:lineRule="exact"/>
              <w:jc w:val="center"/>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rPr>
              <w:t>安装调试方案</w:t>
            </w:r>
          </w:p>
        </w:tc>
        <w:tc>
          <w:tcPr>
            <w:tcW w:w="795" w:type="dxa"/>
            <w:noWrap w:val="0"/>
            <w:vAlign w:val="center"/>
          </w:tcPr>
          <w:p w14:paraId="60311EAA">
            <w:pPr>
              <w:keepNext w:val="0"/>
              <w:keepLines w:val="0"/>
              <w:pageBreakBefore w:val="0"/>
              <w:widowControl w:val="0"/>
              <w:kinsoku/>
              <w:wordWrap/>
              <w:overflowPunct/>
              <w:topLinePunct w:val="0"/>
              <w:autoSpaceDE/>
              <w:autoSpaceDN/>
              <w:bidi w:val="0"/>
              <w:spacing w:line="320" w:lineRule="exact"/>
              <w:jc w:val="center"/>
              <w:textAlignment w:val="auto"/>
              <w:rPr>
                <w:rFonts w:hint="eastAsia" w:ascii="仿宋" w:hAnsi="仿宋" w:eastAsia="仿宋" w:cs="仿宋"/>
                <w:b w:val="0"/>
                <w:bCs/>
                <w:color w:val="auto"/>
                <w:spacing w:val="-6"/>
                <w:sz w:val="22"/>
                <w:szCs w:val="22"/>
              </w:rPr>
            </w:pPr>
            <w:r>
              <w:rPr>
                <w:rFonts w:hint="eastAsia" w:ascii="仿宋" w:hAnsi="仿宋" w:eastAsia="仿宋" w:cs="仿宋"/>
                <w:b w:val="0"/>
                <w:bCs/>
                <w:color w:val="auto"/>
                <w:spacing w:val="-6"/>
                <w:sz w:val="22"/>
                <w:szCs w:val="22"/>
              </w:rPr>
              <w:t>2分</w:t>
            </w:r>
          </w:p>
        </w:tc>
        <w:tc>
          <w:tcPr>
            <w:tcW w:w="6757" w:type="dxa"/>
            <w:noWrap w:val="0"/>
            <w:vAlign w:val="center"/>
          </w:tcPr>
          <w:p w14:paraId="61CA3204">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rPr>
              <w:t>根据投标人拟定的安装调试方案进行评审。</w:t>
            </w:r>
          </w:p>
          <w:p w14:paraId="6C8EA59B">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lang w:val="en-US" w:eastAsia="zh-CN"/>
              </w:rPr>
              <w:t>1.</w:t>
            </w:r>
            <w:r>
              <w:rPr>
                <w:rFonts w:hint="eastAsia" w:ascii="仿宋" w:hAnsi="仿宋" w:eastAsia="仿宋" w:cs="仿宋"/>
                <w:b w:val="0"/>
                <w:bCs/>
                <w:color w:val="auto"/>
                <w:sz w:val="22"/>
                <w:szCs w:val="22"/>
              </w:rPr>
              <w:t>安装调试方案科学详细，系统安装调试、辅材费用均包含在投标报价内，无其他费用，且方案有较强的针对性和保障性，对安装调试步骤有明确的注意事项标注，技术资料齐全完善的得2分。</w:t>
            </w:r>
          </w:p>
          <w:p w14:paraId="20CB389A">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lang w:val="en-US" w:eastAsia="zh-CN"/>
              </w:rPr>
              <w:t>2.</w:t>
            </w:r>
            <w:r>
              <w:rPr>
                <w:rFonts w:hint="eastAsia" w:ascii="仿宋" w:hAnsi="仿宋" w:eastAsia="仿宋" w:cs="仿宋"/>
                <w:b w:val="0"/>
                <w:bCs/>
                <w:color w:val="auto"/>
                <w:sz w:val="22"/>
                <w:szCs w:val="22"/>
              </w:rPr>
              <w:t>安装调试方案合理可行，系统安装调试、辅材费用包含在投标报价内，无其他费用，确保安装调试实施顺畅，方案具有一定的可行性和操作性的得1分。</w:t>
            </w:r>
          </w:p>
          <w:p w14:paraId="41BFB3C8">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b w:val="0"/>
                <w:bCs/>
                <w:color w:val="auto"/>
                <w:spacing w:val="-6"/>
                <w:sz w:val="22"/>
                <w:szCs w:val="22"/>
              </w:rPr>
            </w:pPr>
            <w:r>
              <w:rPr>
                <w:rFonts w:hint="eastAsia" w:ascii="仿宋" w:hAnsi="仿宋" w:eastAsia="仿宋" w:cs="仿宋"/>
                <w:b w:val="0"/>
                <w:bCs/>
                <w:color w:val="auto"/>
                <w:sz w:val="22"/>
                <w:szCs w:val="22"/>
                <w:lang w:val="en-US" w:eastAsia="zh-CN"/>
              </w:rPr>
              <w:t>3.</w:t>
            </w:r>
            <w:r>
              <w:rPr>
                <w:rFonts w:hint="eastAsia" w:ascii="仿宋" w:hAnsi="仿宋" w:eastAsia="仿宋" w:cs="仿宋"/>
                <w:b w:val="0"/>
                <w:bCs/>
                <w:color w:val="auto"/>
                <w:sz w:val="22"/>
                <w:szCs w:val="22"/>
              </w:rPr>
              <w:t>未提供安装调试方案或方案有所欠缺的不得分。</w:t>
            </w:r>
          </w:p>
        </w:tc>
      </w:tr>
      <w:tr w14:paraId="0CA0D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1215" w:type="dxa"/>
            <w:vMerge w:val="restart"/>
            <w:noWrap w:val="0"/>
            <w:vAlign w:val="center"/>
          </w:tcPr>
          <w:p w14:paraId="453CA2D9">
            <w:pPr>
              <w:keepNext w:val="0"/>
              <w:keepLines w:val="0"/>
              <w:pageBreakBefore w:val="0"/>
              <w:widowControl w:val="0"/>
              <w:kinsoku/>
              <w:wordWrap/>
              <w:overflowPunct/>
              <w:topLinePunct w:val="0"/>
              <w:autoSpaceDE/>
              <w:autoSpaceDN/>
              <w:bidi w:val="0"/>
              <w:spacing w:line="320" w:lineRule="exact"/>
              <w:jc w:val="center"/>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rPr>
              <w:t>商务部分（10分）</w:t>
            </w:r>
          </w:p>
        </w:tc>
        <w:tc>
          <w:tcPr>
            <w:tcW w:w="1155" w:type="dxa"/>
            <w:noWrap w:val="0"/>
            <w:vAlign w:val="center"/>
          </w:tcPr>
          <w:p w14:paraId="6C8D95D5">
            <w:pPr>
              <w:keepNext w:val="0"/>
              <w:keepLines w:val="0"/>
              <w:pageBreakBefore w:val="0"/>
              <w:widowControl w:val="0"/>
              <w:kinsoku/>
              <w:wordWrap/>
              <w:overflowPunct/>
              <w:topLinePunct w:val="0"/>
              <w:autoSpaceDE/>
              <w:autoSpaceDN/>
              <w:bidi w:val="0"/>
              <w:spacing w:line="320" w:lineRule="exact"/>
              <w:jc w:val="center"/>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pacing w:val="-6"/>
                <w:sz w:val="22"/>
                <w:szCs w:val="22"/>
              </w:rPr>
              <w:t>类似业绩</w:t>
            </w:r>
          </w:p>
        </w:tc>
        <w:tc>
          <w:tcPr>
            <w:tcW w:w="795" w:type="dxa"/>
            <w:noWrap w:val="0"/>
            <w:vAlign w:val="center"/>
          </w:tcPr>
          <w:p w14:paraId="7FFF5B77">
            <w:pPr>
              <w:keepNext w:val="0"/>
              <w:keepLines w:val="0"/>
              <w:pageBreakBefore w:val="0"/>
              <w:widowControl w:val="0"/>
              <w:kinsoku/>
              <w:wordWrap/>
              <w:overflowPunct/>
              <w:topLinePunct w:val="0"/>
              <w:autoSpaceDE/>
              <w:autoSpaceDN/>
              <w:bidi w:val="0"/>
              <w:spacing w:line="320" w:lineRule="exact"/>
              <w:jc w:val="center"/>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pacing w:val="-6"/>
                <w:sz w:val="22"/>
                <w:szCs w:val="22"/>
                <w:lang w:val="en-US" w:eastAsia="zh-CN"/>
              </w:rPr>
              <w:t>2</w:t>
            </w:r>
            <w:r>
              <w:rPr>
                <w:rFonts w:hint="eastAsia" w:ascii="仿宋" w:hAnsi="仿宋" w:eastAsia="仿宋" w:cs="仿宋"/>
                <w:b w:val="0"/>
                <w:bCs/>
                <w:color w:val="auto"/>
                <w:spacing w:val="-6"/>
                <w:sz w:val="22"/>
                <w:szCs w:val="22"/>
              </w:rPr>
              <w:t>分</w:t>
            </w:r>
          </w:p>
        </w:tc>
        <w:tc>
          <w:tcPr>
            <w:tcW w:w="6757" w:type="dxa"/>
            <w:noWrap w:val="0"/>
            <w:vAlign w:val="center"/>
          </w:tcPr>
          <w:p w14:paraId="58061310">
            <w:pPr>
              <w:keepNext w:val="0"/>
              <w:keepLines w:val="0"/>
              <w:pageBreakBefore w:val="0"/>
              <w:widowControl w:val="0"/>
              <w:kinsoku/>
              <w:wordWrap/>
              <w:overflowPunct/>
              <w:topLinePunct w:val="0"/>
              <w:autoSpaceDE/>
              <w:autoSpaceDN/>
              <w:bidi w:val="0"/>
              <w:spacing w:line="320" w:lineRule="exact"/>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rPr>
              <w:t>近三年（2020年X月至今，以合同签订时间为准）投标人曾为类似项目供货的业绩的情况，须提供合同作为证明材料（所提供的合同须提供供货清单页、合同双方签署页及合同签署双方的完整信息），每有一个得1分，最高得</w:t>
            </w:r>
            <w:r>
              <w:rPr>
                <w:rFonts w:hint="eastAsia" w:ascii="仿宋" w:hAnsi="仿宋" w:eastAsia="仿宋" w:cs="仿宋"/>
                <w:b w:val="0"/>
                <w:bCs/>
                <w:color w:val="auto"/>
                <w:sz w:val="22"/>
                <w:szCs w:val="22"/>
                <w:lang w:val="en-US" w:eastAsia="zh-CN"/>
              </w:rPr>
              <w:t>2</w:t>
            </w:r>
            <w:r>
              <w:rPr>
                <w:rFonts w:hint="eastAsia" w:ascii="仿宋" w:hAnsi="仿宋" w:eastAsia="仿宋" w:cs="仿宋"/>
                <w:b w:val="0"/>
                <w:bCs/>
                <w:color w:val="auto"/>
                <w:sz w:val="22"/>
                <w:szCs w:val="22"/>
              </w:rPr>
              <w:t>分。</w:t>
            </w:r>
          </w:p>
        </w:tc>
      </w:tr>
      <w:tr w14:paraId="0C81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215" w:type="dxa"/>
            <w:vMerge w:val="continue"/>
            <w:noWrap w:val="0"/>
            <w:vAlign w:val="center"/>
          </w:tcPr>
          <w:p w14:paraId="5ABD75F9">
            <w:pPr>
              <w:keepNext w:val="0"/>
              <w:keepLines w:val="0"/>
              <w:pageBreakBefore w:val="0"/>
              <w:widowControl w:val="0"/>
              <w:kinsoku/>
              <w:wordWrap/>
              <w:overflowPunct/>
              <w:topLinePunct w:val="0"/>
              <w:autoSpaceDE/>
              <w:autoSpaceDN/>
              <w:bidi w:val="0"/>
              <w:spacing w:line="320" w:lineRule="exact"/>
              <w:jc w:val="center"/>
              <w:textAlignment w:val="auto"/>
              <w:rPr>
                <w:rFonts w:hint="eastAsia" w:ascii="仿宋" w:hAnsi="仿宋" w:eastAsia="仿宋" w:cs="仿宋"/>
                <w:b w:val="0"/>
                <w:bCs/>
                <w:color w:val="auto"/>
                <w:sz w:val="22"/>
                <w:szCs w:val="22"/>
              </w:rPr>
            </w:pPr>
          </w:p>
        </w:tc>
        <w:tc>
          <w:tcPr>
            <w:tcW w:w="1155" w:type="dxa"/>
            <w:noWrap w:val="0"/>
            <w:vAlign w:val="center"/>
          </w:tcPr>
          <w:p w14:paraId="7A087CF9">
            <w:pPr>
              <w:keepNext w:val="0"/>
              <w:keepLines w:val="0"/>
              <w:pageBreakBefore w:val="0"/>
              <w:widowControl w:val="0"/>
              <w:kinsoku/>
              <w:wordWrap/>
              <w:overflowPunct/>
              <w:topLinePunct w:val="0"/>
              <w:autoSpaceDE/>
              <w:autoSpaceDN/>
              <w:bidi w:val="0"/>
              <w:spacing w:line="320" w:lineRule="exact"/>
              <w:jc w:val="center"/>
              <w:textAlignment w:val="auto"/>
              <w:rPr>
                <w:rFonts w:hint="eastAsia" w:ascii="仿宋" w:hAnsi="仿宋" w:eastAsia="仿宋" w:cs="仿宋"/>
                <w:b w:val="0"/>
                <w:bCs/>
                <w:color w:val="auto"/>
                <w:spacing w:val="-6"/>
                <w:sz w:val="22"/>
                <w:szCs w:val="22"/>
              </w:rPr>
            </w:pPr>
            <w:r>
              <w:rPr>
                <w:rFonts w:hint="eastAsia" w:ascii="仿宋" w:hAnsi="仿宋" w:eastAsia="仿宋" w:cs="仿宋"/>
                <w:b w:val="0"/>
                <w:bCs/>
                <w:color w:val="auto"/>
                <w:spacing w:val="-6"/>
                <w:sz w:val="22"/>
                <w:szCs w:val="22"/>
              </w:rPr>
              <w:t>体系认证</w:t>
            </w:r>
          </w:p>
        </w:tc>
        <w:tc>
          <w:tcPr>
            <w:tcW w:w="795" w:type="dxa"/>
            <w:noWrap w:val="0"/>
            <w:vAlign w:val="center"/>
          </w:tcPr>
          <w:p w14:paraId="3A8E04F5">
            <w:pPr>
              <w:keepNext w:val="0"/>
              <w:keepLines w:val="0"/>
              <w:pageBreakBefore w:val="0"/>
              <w:widowControl w:val="0"/>
              <w:kinsoku/>
              <w:wordWrap/>
              <w:overflowPunct/>
              <w:topLinePunct w:val="0"/>
              <w:autoSpaceDE/>
              <w:autoSpaceDN/>
              <w:bidi w:val="0"/>
              <w:spacing w:line="320" w:lineRule="exact"/>
              <w:jc w:val="center"/>
              <w:textAlignment w:val="auto"/>
              <w:rPr>
                <w:rFonts w:hint="eastAsia" w:ascii="仿宋" w:hAnsi="仿宋" w:eastAsia="仿宋" w:cs="仿宋"/>
                <w:b w:val="0"/>
                <w:bCs/>
                <w:color w:val="auto"/>
                <w:spacing w:val="-6"/>
                <w:sz w:val="22"/>
                <w:szCs w:val="22"/>
              </w:rPr>
            </w:pPr>
            <w:r>
              <w:rPr>
                <w:rFonts w:hint="eastAsia" w:ascii="仿宋" w:hAnsi="仿宋" w:eastAsia="仿宋" w:cs="仿宋"/>
                <w:b w:val="0"/>
                <w:bCs/>
                <w:color w:val="auto"/>
                <w:spacing w:val="-6"/>
                <w:sz w:val="22"/>
                <w:szCs w:val="22"/>
              </w:rPr>
              <w:t>1分</w:t>
            </w:r>
          </w:p>
        </w:tc>
        <w:tc>
          <w:tcPr>
            <w:tcW w:w="6757" w:type="dxa"/>
            <w:noWrap w:val="0"/>
            <w:vAlign w:val="center"/>
          </w:tcPr>
          <w:p w14:paraId="5770B66D">
            <w:pPr>
              <w:keepNext w:val="0"/>
              <w:keepLines w:val="0"/>
              <w:pageBreakBefore w:val="0"/>
              <w:widowControl w:val="0"/>
              <w:kinsoku/>
              <w:wordWrap/>
              <w:overflowPunct/>
              <w:topLinePunct w:val="0"/>
              <w:autoSpaceDE/>
              <w:autoSpaceDN/>
              <w:bidi w:val="0"/>
              <w:spacing w:line="320" w:lineRule="exact"/>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rPr>
              <w:t>投标人提供有效期内的质量管理体系认证证书、环境管理体系认证证书。每提供一类证书得0.5分，不提供的不得分</w:t>
            </w:r>
            <w:r>
              <w:rPr>
                <w:rFonts w:hint="eastAsia" w:ascii="仿宋" w:hAnsi="仿宋" w:eastAsia="仿宋" w:cs="仿宋"/>
                <w:b w:val="0"/>
                <w:bCs/>
                <w:color w:val="auto"/>
                <w:kern w:val="0"/>
                <w:sz w:val="22"/>
                <w:szCs w:val="22"/>
              </w:rPr>
              <w:t>。</w:t>
            </w:r>
          </w:p>
        </w:tc>
      </w:tr>
      <w:tr w14:paraId="223E0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215" w:type="dxa"/>
            <w:vMerge w:val="continue"/>
            <w:noWrap w:val="0"/>
            <w:vAlign w:val="center"/>
          </w:tcPr>
          <w:p w14:paraId="5B626C18">
            <w:pPr>
              <w:keepNext w:val="0"/>
              <w:keepLines w:val="0"/>
              <w:pageBreakBefore w:val="0"/>
              <w:widowControl w:val="0"/>
              <w:kinsoku/>
              <w:wordWrap/>
              <w:overflowPunct/>
              <w:topLinePunct w:val="0"/>
              <w:autoSpaceDE/>
              <w:autoSpaceDN/>
              <w:bidi w:val="0"/>
              <w:spacing w:line="320" w:lineRule="exact"/>
              <w:jc w:val="center"/>
              <w:textAlignment w:val="auto"/>
              <w:rPr>
                <w:rFonts w:hint="eastAsia" w:ascii="仿宋" w:hAnsi="仿宋" w:eastAsia="仿宋" w:cs="仿宋"/>
                <w:b w:val="0"/>
                <w:bCs/>
                <w:color w:val="auto"/>
                <w:sz w:val="22"/>
                <w:szCs w:val="22"/>
              </w:rPr>
            </w:pPr>
          </w:p>
        </w:tc>
        <w:tc>
          <w:tcPr>
            <w:tcW w:w="1155" w:type="dxa"/>
            <w:vMerge w:val="restart"/>
            <w:noWrap w:val="0"/>
            <w:vAlign w:val="center"/>
          </w:tcPr>
          <w:p w14:paraId="60B7D646">
            <w:pPr>
              <w:keepNext w:val="0"/>
              <w:keepLines w:val="0"/>
              <w:pageBreakBefore w:val="0"/>
              <w:widowControl w:val="0"/>
              <w:kinsoku/>
              <w:wordWrap/>
              <w:overflowPunct/>
              <w:topLinePunct w:val="0"/>
              <w:autoSpaceDE/>
              <w:autoSpaceDN/>
              <w:bidi w:val="0"/>
              <w:spacing w:line="320" w:lineRule="exact"/>
              <w:jc w:val="center"/>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rPr>
              <w:t>售后服务</w:t>
            </w:r>
          </w:p>
        </w:tc>
        <w:tc>
          <w:tcPr>
            <w:tcW w:w="795" w:type="dxa"/>
            <w:noWrap w:val="0"/>
            <w:vAlign w:val="center"/>
          </w:tcPr>
          <w:p w14:paraId="29B6C59A">
            <w:pPr>
              <w:keepNext w:val="0"/>
              <w:keepLines w:val="0"/>
              <w:pageBreakBefore w:val="0"/>
              <w:widowControl w:val="0"/>
              <w:kinsoku/>
              <w:wordWrap/>
              <w:overflowPunct/>
              <w:topLinePunct w:val="0"/>
              <w:autoSpaceDE/>
              <w:autoSpaceDN/>
              <w:bidi w:val="0"/>
              <w:spacing w:line="320" w:lineRule="exact"/>
              <w:jc w:val="center"/>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pacing w:val="-6"/>
                <w:sz w:val="22"/>
                <w:szCs w:val="22"/>
              </w:rPr>
              <w:t>1分</w:t>
            </w:r>
          </w:p>
        </w:tc>
        <w:tc>
          <w:tcPr>
            <w:tcW w:w="6757" w:type="dxa"/>
            <w:noWrap w:val="0"/>
            <w:vAlign w:val="center"/>
          </w:tcPr>
          <w:p w14:paraId="3D9FC9FB">
            <w:pPr>
              <w:keepNext w:val="0"/>
              <w:keepLines w:val="0"/>
              <w:pageBreakBefore w:val="0"/>
              <w:widowControl w:val="0"/>
              <w:kinsoku/>
              <w:wordWrap/>
              <w:overflowPunct/>
              <w:topLinePunct w:val="0"/>
              <w:autoSpaceDE/>
              <w:autoSpaceDN/>
              <w:bidi w:val="0"/>
              <w:spacing w:line="320" w:lineRule="exact"/>
              <w:jc w:val="left"/>
              <w:textAlignment w:val="auto"/>
              <w:rPr>
                <w:rFonts w:hint="eastAsia" w:ascii="仿宋" w:hAnsi="仿宋" w:eastAsia="仿宋" w:cs="仿宋"/>
                <w:b w:val="0"/>
                <w:bCs/>
                <w:color w:val="auto"/>
                <w:sz w:val="22"/>
                <w:szCs w:val="22"/>
              </w:rPr>
            </w:pPr>
            <w:r>
              <w:rPr>
                <w:rFonts w:hint="eastAsia" w:ascii="仿宋" w:hAnsi="仿宋" w:eastAsia="仿宋" w:cs="仿宋"/>
                <w:b w:val="0"/>
                <w:bCs/>
                <w:snapToGrid w:val="0"/>
                <w:color w:val="auto"/>
                <w:kern w:val="0"/>
                <w:sz w:val="22"/>
                <w:szCs w:val="22"/>
              </w:rPr>
              <w:t>投标人能按商务要求中的</w:t>
            </w:r>
            <w:r>
              <w:rPr>
                <w:rFonts w:hint="eastAsia" w:ascii="仿宋" w:hAnsi="仿宋" w:eastAsia="仿宋" w:cs="仿宋"/>
                <w:b w:val="0"/>
                <w:bCs/>
                <w:snapToGrid w:val="0"/>
                <w:color w:val="auto"/>
                <w:kern w:val="0"/>
                <w:sz w:val="22"/>
                <w:szCs w:val="22"/>
                <w:lang w:val="zh-CN"/>
              </w:rPr>
              <w:t>售后服务、</w:t>
            </w:r>
            <w:r>
              <w:rPr>
                <w:rFonts w:hint="eastAsia" w:ascii="仿宋" w:hAnsi="仿宋" w:eastAsia="仿宋" w:cs="仿宋"/>
                <w:b w:val="0"/>
                <w:bCs/>
                <w:color w:val="auto"/>
                <w:sz w:val="22"/>
                <w:szCs w:val="22"/>
                <w:lang w:val="en"/>
              </w:rPr>
              <w:t>升级更新、备品备件等</w:t>
            </w:r>
            <w:r>
              <w:rPr>
                <w:rFonts w:hint="eastAsia" w:ascii="仿宋" w:hAnsi="仿宋" w:eastAsia="仿宋" w:cs="仿宋"/>
                <w:b w:val="0"/>
                <w:bCs/>
                <w:snapToGrid w:val="0"/>
                <w:color w:val="auto"/>
                <w:kern w:val="0"/>
                <w:sz w:val="22"/>
                <w:szCs w:val="22"/>
                <w:lang w:val="zh-CN"/>
              </w:rPr>
              <w:t>要求提供售后</w:t>
            </w:r>
            <w:r>
              <w:rPr>
                <w:rFonts w:hint="eastAsia" w:ascii="仿宋" w:hAnsi="仿宋" w:eastAsia="仿宋" w:cs="仿宋"/>
                <w:b w:val="0"/>
                <w:bCs/>
                <w:snapToGrid w:val="0"/>
                <w:color w:val="auto"/>
                <w:kern w:val="0"/>
                <w:sz w:val="22"/>
                <w:szCs w:val="22"/>
              </w:rPr>
              <w:t>承诺</w:t>
            </w:r>
            <w:r>
              <w:rPr>
                <w:rFonts w:hint="eastAsia" w:ascii="仿宋" w:hAnsi="仿宋" w:eastAsia="仿宋" w:cs="仿宋"/>
                <w:b w:val="0"/>
                <w:bCs/>
                <w:snapToGrid w:val="0"/>
                <w:color w:val="auto"/>
                <w:kern w:val="0"/>
                <w:sz w:val="22"/>
                <w:szCs w:val="22"/>
                <w:lang w:val="zh-CN"/>
              </w:rPr>
              <w:t>的</w:t>
            </w:r>
            <w:r>
              <w:rPr>
                <w:rFonts w:hint="eastAsia" w:ascii="仿宋" w:hAnsi="仿宋" w:eastAsia="仿宋" w:cs="仿宋"/>
                <w:b w:val="0"/>
                <w:bCs/>
                <w:color w:val="auto"/>
                <w:sz w:val="22"/>
                <w:szCs w:val="22"/>
              </w:rPr>
              <w:t>得1分。（需提供投标人售后服务承诺函，未提供承诺函或承诺内容不齐全均不得分。）</w:t>
            </w:r>
          </w:p>
        </w:tc>
      </w:tr>
      <w:tr w14:paraId="6C19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5" w:hRule="atLeast"/>
          <w:jc w:val="center"/>
        </w:trPr>
        <w:tc>
          <w:tcPr>
            <w:tcW w:w="1215" w:type="dxa"/>
            <w:vMerge w:val="continue"/>
            <w:noWrap w:val="0"/>
            <w:vAlign w:val="center"/>
          </w:tcPr>
          <w:p w14:paraId="7E663CAC">
            <w:pPr>
              <w:keepNext w:val="0"/>
              <w:keepLines w:val="0"/>
              <w:pageBreakBefore w:val="0"/>
              <w:widowControl w:val="0"/>
              <w:kinsoku/>
              <w:wordWrap/>
              <w:overflowPunct/>
              <w:topLinePunct w:val="0"/>
              <w:autoSpaceDE/>
              <w:autoSpaceDN/>
              <w:bidi w:val="0"/>
              <w:spacing w:line="320" w:lineRule="exact"/>
              <w:jc w:val="center"/>
              <w:textAlignment w:val="auto"/>
              <w:rPr>
                <w:rFonts w:hint="eastAsia" w:ascii="仿宋" w:hAnsi="仿宋" w:eastAsia="仿宋" w:cs="仿宋"/>
                <w:b w:val="0"/>
                <w:bCs/>
                <w:color w:val="auto"/>
                <w:sz w:val="22"/>
                <w:szCs w:val="22"/>
              </w:rPr>
            </w:pPr>
          </w:p>
        </w:tc>
        <w:tc>
          <w:tcPr>
            <w:tcW w:w="1155" w:type="dxa"/>
            <w:vMerge w:val="continue"/>
            <w:noWrap w:val="0"/>
            <w:vAlign w:val="center"/>
          </w:tcPr>
          <w:p w14:paraId="263C48CF">
            <w:pPr>
              <w:keepNext w:val="0"/>
              <w:keepLines w:val="0"/>
              <w:pageBreakBefore w:val="0"/>
              <w:widowControl w:val="0"/>
              <w:kinsoku/>
              <w:wordWrap/>
              <w:overflowPunct/>
              <w:topLinePunct w:val="0"/>
              <w:autoSpaceDE/>
              <w:autoSpaceDN/>
              <w:bidi w:val="0"/>
              <w:spacing w:line="320" w:lineRule="exact"/>
              <w:jc w:val="center"/>
              <w:textAlignment w:val="auto"/>
              <w:rPr>
                <w:rFonts w:hint="eastAsia" w:ascii="仿宋" w:hAnsi="仿宋" w:eastAsia="仿宋" w:cs="仿宋"/>
                <w:b w:val="0"/>
                <w:bCs/>
                <w:color w:val="auto"/>
                <w:sz w:val="22"/>
                <w:szCs w:val="22"/>
              </w:rPr>
            </w:pPr>
          </w:p>
        </w:tc>
        <w:tc>
          <w:tcPr>
            <w:tcW w:w="795" w:type="dxa"/>
            <w:noWrap w:val="0"/>
            <w:vAlign w:val="center"/>
          </w:tcPr>
          <w:p w14:paraId="68706455">
            <w:pPr>
              <w:keepNext w:val="0"/>
              <w:keepLines w:val="0"/>
              <w:pageBreakBefore w:val="0"/>
              <w:widowControl w:val="0"/>
              <w:kinsoku/>
              <w:wordWrap/>
              <w:overflowPunct/>
              <w:topLinePunct w:val="0"/>
              <w:autoSpaceDE/>
              <w:autoSpaceDN/>
              <w:bidi w:val="0"/>
              <w:spacing w:line="320" w:lineRule="exact"/>
              <w:jc w:val="center"/>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pacing w:val="-6"/>
                <w:sz w:val="22"/>
                <w:szCs w:val="22"/>
                <w:lang w:val="en-US" w:eastAsia="zh-CN"/>
              </w:rPr>
              <w:t>3</w:t>
            </w:r>
            <w:r>
              <w:rPr>
                <w:rFonts w:hint="eastAsia" w:ascii="仿宋" w:hAnsi="仿宋" w:eastAsia="仿宋" w:cs="仿宋"/>
                <w:b w:val="0"/>
                <w:bCs/>
                <w:color w:val="auto"/>
                <w:spacing w:val="-6"/>
                <w:sz w:val="22"/>
                <w:szCs w:val="22"/>
              </w:rPr>
              <w:t>分</w:t>
            </w:r>
          </w:p>
        </w:tc>
        <w:tc>
          <w:tcPr>
            <w:tcW w:w="6757" w:type="dxa"/>
            <w:noWrap w:val="0"/>
            <w:vAlign w:val="center"/>
          </w:tcPr>
          <w:p w14:paraId="56408ACC">
            <w:pPr>
              <w:keepNext w:val="0"/>
              <w:keepLines w:val="0"/>
              <w:pageBreakBefore w:val="0"/>
              <w:widowControl w:val="0"/>
              <w:kinsoku/>
              <w:wordWrap/>
              <w:overflowPunct/>
              <w:topLinePunct w:val="0"/>
              <w:autoSpaceDE/>
              <w:autoSpaceDN/>
              <w:bidi w:val="0"/>
              <w:spacing w:line="320" w:lineRule="exact"/>
              <w:jc w:val="left"/>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rPr>
              <w:t>根据投标人售后服务方案(包括但不限于</w:t>
            </w:r>
            <w:r>
              <w:rPr>
                <w:rFonts w:hint="eastAsia" w:ascii="仿宋" w:hAnsi="仿宋" w:eastAsia="仿宋" w:cs="仿宋"/>
                <w:b w:val="0"/>
                <w:bCs/>
                <w:color w:val="auto"/>
                <w:sz w:val="22"/>
                <w:szCs w:val="22"/>
              </w:rPr>
              <w:fldChar w:fldCharType="begin"/>
            </w:r>
            <w:r>
              <w:rPr>
                <w:rFonts w:hint="eastAsia" w:ascii="仿宋" w:hAnsi="仿宋" w:eastAsia="仿宋" w:cs="仿宋"/>
                <w:b w:val="0"/>
                <w:bCs/>
                <w:color w:val="auto"/>
                <w:sz w:val="22"/>
                <w:szCs w:val="22"/>
              </w:rPr>
              <w:instrText xml:space="preserve"> = 1 \* GB3 </w:instrText>
            </w:r>
            <w:r>
              <w:rPr>
                <w:rFonts w:hint="eastAsia" w:ascii="仿宋" w:hAnsi="仿宋" w:eastAsia="仿宋" w:cs="仿宋"/>
                <w:b w:val="0"/>
                <w:bCs/>
                <w:color w:val="auto"/>
                <w:sz w:val="22"/>
                <w:szCs w:val="22"/>
              </w:rPr>
              <w:fldChar w:fldCharType="separate"/>
            </w:r>
            <w:r>
              <w:rPr>
                <w:rFonts w:hint="eastAsia" w:ascii="仿宋" w:hAnsi="仿宋" w:eastAsia="仿宋" w:cs="仿宋"/>
                <w:b w:val="0"/>
                <w:bCs/>
                <w:color w:val="auto"/>
                <w:sz w:val="22"/>
                <w:szCs w:val="22"/>
              </w:rPr>
              <w:t>①</w:t>
            </w:r>
            <w:r>
              <w:rPr>
                <w:rFonts w:hint="eastAsia" w:ascii="仿宋" w:hAnsi="仿宋" w:eastAsia="仿宋" w:cs="仿宋"/>
                <w:b w:val="0"/>
                <w:bCs/>
                <w:color w:val="auto"/>
                <w:sz w:val="22"/>
                <w:szCs w:val="22"/>
              </w:rPr>
              <w:fldChar w:fldCharType="end"/>
            </w:r>
            <w:r>
              <w:rPr>
                <w:rFonts w:hint="eastAsia" w:ascii="仿宋" w:hAnsi="仿宋" w:eastAsia="仿宋" w:cs="仿宋"/>
                <w:b w:val="0"/>
                <w:bCs/>
                <w:color w:val="auto"/>
                <w:sz w:val="22"/>
                <w:szCs w:val="22"/>
              </w:rPr>
              <w:t>服务标准、应急维修处理、培训等；</w:t>
            </w:r>
            <w:r>
              <w:rPr>
                <w:rFonts w:hint="eastAsia" w:ascii="仿宋" w:hAnsi="仿宋" w:eastAsia="仿宋" w:cs="仿宋"/>
                <w:b w:val="0"/>
                <w:bCs/>
                <w:color w:val="auto"/>
                <w:sz w:val="22"/>
                <w:szCs w:val="22"/>
              </w:rPr>
              <w:fldChar w:fldCharType="begin"/>
            </w:r>
            <w:r>
              <w:rPr>
                <w:rFonts w:hint="eastAsia" w:ascii="仿宋" w:hAnsi="仿宋" w:eastAsia="仿宋" w:cs="仿宋"/>
                <w:b w:val="0"/>
                <w:bCs/>
                <w:color w:val="auto"/>
                <w:sz w:val="22"/>
                <w:szCs w:val="22"/>
              </w:rPr>
              <w:instrText xml:space="preserve"> = 2 \* GB3 </w:instrText>
            </w:r>
            <w:r>
              <w:rPr>
                <w:rFonts w:hint="eastAsia" w:ascii="仿宋" w:hAnsi="仿宋" w:eastAsia="仿宋" w:cs="仿宋"/>
                <w:b w:val="0"/>
                <w:bCs/>
                <w:color w:val="auto"/>
                <w:sz w:val="22"/>
                <w:szCs w:val="22"/>
              </w:rPr>
              <w:fldChar w:fldCharType="separate"/>
            </w:r>
            <w:r>
              <w:rPr>
                <w:rFonts w:hint="eastAsia" w:ascii="仿宋" w:hAnsi="仿宋" w:eastAsia="仿宋" w:cs="仿宋"/>
                <w:b w:val="0"/>
                <w:bCs/>
                <w:color w:val="auto"/>
                <w:sz w:val="22"/>
                <w:szCs w:val="22"/>
              </w:rPr>
              <w:t>②</w:t>
            </w:r>
            <w:r>
              <w:rPr>
                <w:rFonts w:hint="eastAsia" w:ascii="仿宋" w:hAnsi="仿宋" w:eastAsia="仿宋" w:cs="仿宋"/>
                <w:b w:val="0"/>
                <w:bCs/>
                <w:color w:val="auto"/>
                <w:sz w:val="22"/>
                <w:szCs w:val="22"/>
              </w:rPr>
              <w:fldChar w:fldCharType="end"/>
            </w:r>
            <w:r>
              <w:rPr>
                <w:rFonts w:hint="eastAsia" w:ascii="仿宋" w:hAnsi="仿宋" w:eastAsia="仿宋" w:cs="仿宋"/>
                <w:b w:val="0"/>
                <w:bCs/>
                <w:color w:val="auto"/>
                <w:sz w:val="22"/>
                <w:szCs w:val="22"/>
              </w:rPr>
              <w:t>质保期满后的承诺；</w:t>
            </w:r>
            <w:r>
              <w:rPr>
                <w:rFonts w:hint="eastAsia" w:ascii="仿宋" w:hAnsi="仿宋" w:eastAsia="仿宋" w:cs="仿宋"/>
                <w:b w:val="0"/>
                <w:bCs/>
                <w:color w:val="auto"/>
                <w:sz w:val="22"/>
                <w:szCs w:val="22"/>
              </w:rPr>
              <w:fldChar w:fldCharType="begin"/>
            </w:r>
            <w:r>
              <w:rPr>
                <w:rFonts w:hint="eastAsia" w:ascii="仿宋" w:hAnsi="仿宋" w:eastAsia="仿宋" w:cs="仿宋"/>
                <w:b w:val="0"/>
                <w:bCs/>
                <w:color w:val="auto"/>
                <w:sz w:val="22"/>
                <w:szCs w:val="22"/>
              </w:rPr>
              <w:instrText xml:space="preserve"> = 3 \* GB3 </w:instrText>
            </w:r>
            <w:r>
              <w:rPr>
                <w:rFonts w:hint="eastAsia" w:ascii="仿宋" w:hAnsi="仿宋" w:eastAsia="仿宋" w:cs="仿宋"/>
                <w:b w:val="0"/>
                <w:bCs/>
                <w:color w:val="auto"/>
                <w:sz w:val="22"/>
                <w:szCs w:val="22"/>
              </w:rPr>
              <w:fldChar w:fldCharType="separate"/>
            </w:r>
            <w:r>
              <w:rPr>
                <w:rFonts w:hint="eastAsia" w:ascii="仿宋" w:hAnsi="仿宋" w:eastAsia="仿宋" w:cs="仿宋"/>
                <w:b w:val="0"/>
                <w:bCs/>
                <w:color w:val="auto"/>
                <w:sz w:val="22"/>
                <w:szCs w:val="22"/>
              </w:rPr>
              <w:t>③</w:t>
            </w:r>
            <w:r>
              <w:rPr>
                <w:rFonts w:hint="eastAsia" w:ascii="仿宋" w:hAnsi="仿宋" w:eastAsia="仿宋" w:cs="仿宋"/>
                <w:b w:val="0"/>
                <w:bCs/>
                <w:color w:val="auto"/>
                <w:sz w:val="22"/>
                <w:szCs w:val="22"/>
              </w:rPr>
              <w:fldChar w:fldCharType="end"/>
            </w:r>
            <w:r>
              <w:rPr>
                <w:rFonts w:hint="eastAsia" w:ascii="仿宋" w:hAnsi="仿宋" w:eastAsia="仿宋" w:cs="仿宋"/>
                <w:b w:val="0"/>
                <w:bCs/>
                <w:color w:val="auto"/>
                <w:sz w:val="22"/>
                <w:szCs w:val="22"/>
              </w:rPr>
              <w:t>其它服务及承诺)进行评审：</w:t>
            </w:r>
          </w:p>
          <w:p w14:paraId="3F585139">
            <w:pPr>
              <w:keepNext w:val="0"/>
              <w:keepLines w:val="0"/>
              <w:pageBreakBefore w:val="0"/>
              <w:widowControl w:val="0"/>
              <w:kinsoku/>
              <w:wordWrap/>
              <w:overflowPunct/>
              <w:topLinePunct w:val="0"/>
              <w:autoSpaceDE/>
              <w:autoSpaceDN/>
              <w:bidi w:val="0"/>
              <w:spacing w:line="320" w:lineRule="exact"/>
              <w:jc w:val="left"/>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lang w:val="en-US" w:eastAsia="zh-CN"/>
              </w:rPr>
              <w:t>1.</w:t>
            </w:r>
            <w:r>
              <w:rPr>
                <w:rFonts w:hint="eastAsia" w:ascii="仿宋" w:hAnsi="仿宋" w:eastAsia="仿宋" w:cs="仿宋"/>
                <w:b w:val="0"/>
                <w:bCs/>
                <w:color w:val="auto"/>
                <w:sz w:val="22"/>
                <w:szCs w:val="22"/>
              </w:rPr>
              <w:t>售后服务有详细、可行的方案及措施，且有完善应急处理措施和售后培训安排，响应及上门时间及时且有明确表述，能够完全满足采购需求的得3分；</w:t>
            </w:r>
          </w:p>
          <w:p w14:paraId="69222598">
            <w:pPr>
              <w:keepNext w:val="0"/>
              <w:keepLines w:val="0"/>
              <w:pageBreakBefore w:val="0"/>
              <w:widowControl w:val="0"/>
              <w:kinsoku/>
              <w:wordWrap/>
              <w:overflowPunct/>
              <w:topLinePunct w:val="0"/>
              <w:autoSpaceDE/>
              <w:autoSpaceDN/>
              <w:bidi w:val="0"/>
              <w:spacing w:line="320" w:lineRule="exact"/>
              <w:jc w:val="left"/>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lang w:val="en-US" w:eastAsia="zh-CN"/>
              </w:rPr>
              <w:t>2.</w:t>
            </w:r>
            <w:r>
              <w:rPr>
                <w:rFonts w:hint="eastAsia" w:ascii="仿宋" w:hAnsi="仿宋" w:eastAsia="仿宋" w:cs="仿宋"/>
                <w:b w:val="0"/>
                <w:bCs/>
                <w:color w:val="auto"/>
                <w:sz w:val="22"/>
                <w:szCs w:val="22"/>
              </w:rPr>
              <w:t>售后服务方案及措施基本可行，有应急处理措施和售后培训安排，对响应及上门时间有明确表述，基本能够满足采购需求的得2分；</w:t>
            </w:r>
          </w:p>
          <w:p w14:paraId="1B52602A">
            <w:pPr>
              <w:keepNext w:val="0"/>
              <w:keepLines w:val="0"/>
              <w:pageBreakBefore w:val="0"/>
              <w:widowControl w:val="0"/>
              <w:kinsoku/>
              <w:wordWrap/>
              <w:overflowPunct/>
              <w:topLinePunct w:val="0"/>
              <w:autoSpaceDE/>
              <w:autoSpaceDN/>
              <w:bidi w:val="0"/>
              <w:spacing w:line="320" w:lineRule="exact"/>
              <w:jc w:val="left"/>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lang w:val="en-US" w:eastAsia="zh-CN"/>
              </w:rPr>
              <w:t>3.</w:t>
            </w:r>
            <w:r>
              <w:rPr>
                <w:rFonts w:hint="eastAsia" w:ascii="仿宋" w:hAnsi="仿宋" w:eastAsia="仿宋" w:cs="仿宋"/>
                <w:b w:val="0"/>
                <w:bCs/>
                <w:color w:val="auto"/>
                <w:sz w:val="22"/>
                <w:szCs w:val="22"/>
              </w:rPr>
              <w:t>售后服务方案及措施欠缺较多，对响应及上门时间有相应表述，不能完全满足采购需求的得1分；</w:t>
            </w:r>
          </w:p>
          <w:p w14:paraId="5D64E07D">
            <w:pPr>
              <w:keepNext w:val="0"/>
              <w:keepLines w:val="0"/>
              <w:pageBreakBefore w:val="0"/>
              <w:widowControl w:val="0"/>
              <w:kinsoku/>
              <w:wordWrap/>
              <w:overflowPunct/>
              <w:topLinePunct w:val="0"/>
              <w:autoSpaceDE/>
              <w:autoSpaceDN/>
              <w:bidi w:val="0"/>
              <w:spacing w:line="320" w:lineRule="exact"/>
              <w:jc w:val="left"/>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lang w:val="en-US" w:eastAsia="zh-CN"/>
              </w:rPr>
              <w:t>4.</w:t>
            </w:r>
            <w:r>
              <w:rPr>
                <w:rFonts w:hint="eastAsia" w:ascii="仿宋" w:hAnsi="仿宋" w:eastAsia="仿宋" w:cs="仿宋"/>
                <w:b w:val="0"/>
                <w:bCs/>
                <w:color w:val="auto"/>
                <w:sz w:val="22"/>
                <w:szCs w:val="22"/>
              </w:rPr>
              <w:t>未提供售后服务方案</w:t>
            </w:r>
            <w:r>
              <w:rPr>
                <w:rFonts w:hint="eastAsia" w:ascii="仿宋" w:hAnsi="仿宋" w:eastAsia="仿宋" w:cs="仿宋"/>
                <w:b w:val="0"/>
                <w:bCs/>
                <w:color w:val="auto"/>
                <w:spacing w:val="-6"/>
                <w:sz w:val="22"/>
                <w:szCs w:val="22"/>
              </w:rPr>
              <w:t>不得分</w:t>
            </w:r>
            <w:r>
              <w:rPr>
                <w:rFonts w:hint="eastAsia" w:ascii="仿宋" w:hAnsi="仿宋" w:eastAsia="仿宋" w:cs="仿宋"/>
                <w:b w:val="0"/>
                <w:bCs/>
                <w:color w:val="auto"/>
                <w:sz w:val="22"/>
                <w:szCs w:val="22"/>
              </w:rPr>
              <w:t>。</w:t>
            </w:r>
          </w:p>
        </w:tc>
      </w:tr>
      <w:tr w14:paraId="2CB7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1215" w:type="dxa"/>
            <w:vMerge w:val="continue"/>
            <w:noWrap w:val="0"/>
            <w:vAlign w:val="center"/>
          </w:tcPr>
          <w:p w14:paraId="2DEECEFC">
            <w:pPr>
              <w:keepNext w:val="0"/>
              <w:keepLines w:val="0"/>
              <w:pageBreakBefore w:val="0"/>
              <w:widowControl w:val="0"/>
              <w:kinsoku/>
              <w:wordWrap/>
              <w:overflowPunct/>
              <w:topLinePunct w:val="0"/>
              <w:autoSpaceDE/>
              <w:autoSpaceDN/>
              <w:bidi w:val="0"/>
              <w:spacing w:line="320" w:lineRule="exact"/>
              <w:jc w:val="center"/>
              <w:textAlignment w:val="auto"/>
              <w:rPr>
                <w:rFonts w:hint="eastAsia" w:ascii="仿宋" w:hAnsi="仿宋" w:eastAsia="仿宋" w:cs="仿宋"/>
                <w:b w:val="0"/>
                <w:bCs/>
                <w:color w:val="auto"/>
                <w:sz w:val="22"/>
                <w:szCs w:val="22"/>
              </w:rPr>
            </w:pPr>
          </w:p>
        </w:tc>
        <w:tc>
          <w:tcPr>
            <w:tcW w:w="1155" w:type="dxa"/>
            <w:noWrap w:val="0"/>
            <w:vAlign w:val="center"/>
          </w:tcPr>
          <w:p w14:paraId="065097C9">
            <w:pPr>
              <w:keepNext w:val="0"/>
              <w:keepLines w:val="0"/>
              <w:pageBreakBefore w:val="0"/>
              <w:widowControl w:val="0"/>
              <w:kinsoku/>
              <w:wordWrap/>
              <w:overflowPunct/>
              <w:topLinePunct w:val="0"/>
              <w:autoSpaceDE/>
              <w:autoSpaceDN/>
              <w:bidi w:val="0"/>
              <w:spacing w:line="320" w:lineRule="exact"/>
              <w:jc w:val="center"/>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rPr>
              <w:t>交货验收方案</w:t>
            </w:r>
          </w:p>
        </w:tc>
        <w:tc>
          <w:tcPr>
            <w:tcW w:w="795" w:type="dxa"/>
            <w:noWrap w:val="0"/>
            <w:vAlign w:val="center"/>
          </w:tcPr>
          <w:p w14:paraId="6FF0C93E">
            <w:pPr>
              <w:keepNext w:val="0"/>
              <w:keepLines w:val="0"/>
              <w:pageBreakBefore w:val="0"/>
              <w:widowControl w:val="0"/>
              <w:kinsoku/>
              <w:wordWrap/>
              <w:overflowPunct/>
              <w:topLinePunct w:val="0"/>
              <w:autoSpaceDE/>
              <w:autoSpaceDN/>
              <w:bidi w:val="0"/>
              <w:spacing w:line="320" w:lineRule="exact"/>
              <w:jc w:val="center"/>
              <w:textAlignment w:val="auto"/>
              <w:rPr>
                <w:rFonts w:hint="eastAsia" w:ascii="仿宋" w:hAnsi="仿宋" w:eastAsia="仿宋" w:cs="仿宋"/>
                <w:b w:val="0"/>
                <w:bCs/>
                <w:color w:val="auto"/>
                <w:spacing w:val="-6"/>
                <w:sz w:val="22"/>
                <w:szCs w:val="22"/>
              </w:rPr>
            </w:pPr>
            <w:r>
              <w:rPr>
                <w:rFonts w:hint="eastAsia" w:ascii="仿宋" w:hAnsi="仿宋" w:eastAsia="仿宋" w:cs="仿宋"/>
                <w:b w:val="0"/>
                <w:bCs/>
                <w:color w:val="auto"/>
                <w:spacing w:val="-6"/>
                <w:sz w:val="22"/>
                <w:szCs w:val="22"/>
              </w:rPr>
              <w:t>2分</w:t>
            </w:r>
          </w:p>
        </w:tc>
        <w:tc>
          <w:tcPr>
            <w:tcW w:w="6757" w:type="dxa"/>
            <w:noWrap w:val="0"/>
            <w:vAlign w:val="center"/>
          </w:tcPr>
          <w:p w14:paraId="549D1DBC">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rPr>
              <w:t>根据投标人提供的交货验收方案进行评审。</w:t>
            </w:r>
          </w:p>
          <w:p w14:paraId="0FAB0F66">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lang w:val="en-US" w:eastAsia="zh-CN"/>
              </w:rPr>
              <w:t>1.</w:t>
            </w:r>
            <w:r>
              <w:rPr>
                <w:rFonts w:hint="eastAsia" w:ascii="仿宋" w:hAnsi="仿宋" w:eastAsia="仿宋" w:cs="仿宋"/>
                <w:b w:val="0"/>
                <w:bCs/>
                <w:color w:val="auto"/>
                <w:sz w:val="22"/>
                <w:szCs w:val="22"/>
              </w:rPr>
              <w:t>交货验收方案科学可行、针对性强，具有完整的检验、测试、安装指导和调试，且提供详细的验收标准、验收手册、工具等满足设备和系统的工作安全性和稳定性的得2分；</w:t>
            </w:r>
          </w:p>
          <w:p w14:paraId="36D9BB09">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lang w:val="en-US" w:eastAsia="zh-CN"/>
              </w:rPr>
              <w:t>2.</w:t>
            </w:r>
            <w:r>
              <w:rPr>
                <w:rFonts w:hint="eastAsia" w:ascii="仿宋" w:hAnsi="仿宋" w:eastAsia="仿宋" w:cs="仿宋"/>
                <w:b w:val="0"/>
                <w:bCs/>
                <w:color w:val="auto"/>
                <w:sz w:val="22"/>
                <w:szCs w:val="22"/>
              </w:rPr>
              <w:t>交货验收方案合理可行，验收标准、验收手册等具有一定的指导性和参考性，基本能满足项目要求的得1分；</w:t>
            </w:r>
          </w:p>
          <w:p w14:paraId="2CDDF8B2">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lang w:val="en-US" w:eastAsia="zh-CN"/>
              </w:rPr>
              <w:t>3.</w:t>
            </w:r>
            <w:r>
              <w:rPr>
                <w:rFonts w:hint="eastAsia" w:ascii="仿宋" w:hAnsi="仿宋" w:eastAsia="仿宋" w:cs="仿宋"/>
                <w:b w:val="0"/>
                <w:bCs/>
                <w:color w:val="auto"/>
                <w:sz w:val="22"/>
                <w:szCs w:val="22"/>
              </w:rPr>
              <w:t>未提供交货验收方案或方案有所欠缺的不得分。</w:t>
            </w:r>
          </w:p>
        </w:tc>
      </w:tr>
      <w:tr w14:paraId="263C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215" w:type="dxa"/>
            <w:vMerge w:val="continue"/>
            <w:noWrap w:val="0"/>
            <w:vAlign w:val="center"/>
          </w:tcPr>
          <w:p w14:paraId="205A0AC8">
            <w:pPr>
              <w:keepNext w:val="0"/>
              <w:keepLines w:val="0"/>
              <w:pageBreakBefore w:val="0"/>
              <w:widowControl w:val="0"/>
              <w:kinsoku/>
              <w:wordWrap/>
              <w:overflowPunct/>
              <w:topLinePunct w:val="0"/>
              <w:autoSpaceDE/>
              <w:autoSpaceDN/>
              <w:bidi w:val="0"/>
              <w:spacing w:line="320" w:lineRule="exact"/>
              <w:jc w:val="center"/>
              <w:textAlignment w:val="auto"/>
              <w:rPr>
                <w:rFonts w:hint="eastAsia" w:ascii="仿宋" w:hAnsi="仿宋" w:eastAsia="仿宋" w:cs="仿宋"/>
                <w:b w:val="0"/>
                <w:bCs/>
                <w:color w:val="auto"/>
                <w:sz w:val="22"/>
                <w:szCs w:val="22"/>
              </w:rPr>
            </w:pPr>
          </w:p>
        </w:tc>
        <w:tc>
          <w:tcPr>
            <w:tcW w:w="1155" w:type="dxa"/>
            <w:noWrap w:val="0"/>
            <w:vAlign w:val="center"/>
          </w:tcPr>
          <w:p w14:paraId="0B6E8CA8">
            <w:pPr>
              <w:keepNext w:val="0"/>
              <w:keepLines w:val="0"/>
              <w:pageBreakBefore w:val="0"/>
              <w:widowControl w:val="0"/>
              <w:kinsoku/>
              <w:wordWrap/>
              <w:overflowPunct/>
              <w:topLinePunct w:val="0"/>
              <w:autoSpaceDE/>
              <w:autoSpaceDN/>
              <w:bidi w:val="0"/>
              <w:spacing w:line="320" w:lineRule="exact"/>
              <w:jc w:val="center"/>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rPr>
              <w:t>质保期</w:t>
            </w:r>
          </w:p>
        </w:tc>
        <w:tc>
          <w:tcPr>
            <w:tcW w:w="795" w:type="dxa"/>
            <w:noWrap w:val="0"/>
            <w:vAlign w:val="center"/>
          </w:tcPr>
          <w:p w14:paraId="690F409C">
            <w:pPr>
              <w:keepNext w:val="0"/>
              <w:keepLines w:val="0"/>
              <w:pageBreakBefore w:val="0"/>
              <w:widowControl w:val="0"/>
              <w:kinsoku/>
              <w:wordWrap/>
              <w:overflowPunct/>
              <w:topLinePunct w:val="0"/>
              <w:autoSpaceDE/>
              <w:autoSpaceDN/>
              <w:bidi w:val="0"/>
              <w:spacing w:line="320" w:lineRule="exact"/>
              <w:jc w:val="center"/>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rPr>
              <w:t>1分</w:t>
            </w:r>
          </w:p>
        </w:tc>
        <w:tc>
          <w:tcPr>
            <w:tcW w:w="6757" w:type="dxa"/>
            <w:noWrap w:val="0"/>
            <w:vAlign w:val="center"/>
          </w:tcPr>
          <w:p w14:paraId="2FD951DC">
            <w:pPr>
              <w:keepNext w:val="0"/>
              <w:keepLines w:val="0"/>
              <w:pageBreakBefore w:val="0"/>
              <w:widowControl w:val="0"/>
              <w:kinsoku/>
              <w:wordWrap/>
              <w:overflowPunct/>
              <w:topLinePunct w:val="0"/>
              <w:autoSpaceDE/>
              <w:autoSpaceDN/>
              <w:bidi w:val="0"/>
              <w:spacing w:line="320" w:lineRule="exact"/>
              <w:textAlignment w:val="auto"/>
              <w:rPr>
                <w:rFonts w:hint="eastAsia" w:ascii="仿宋" w:hAnsi="仿宋" w:eastAsia="仿宋" w:cs="仿宋"/>
                <w:b w:val="0"/>
                <w:bCs/>
                <w:color w:val="auto"/>
                <w:sz w:val="22"/>
                <w:szCs w:val="22"/>
              </w:rPr>
            </w:pPr>
            <w:r>
              <w:rPr>
                <w:rFonts w:hint="eastAsia" w:ascii="仿宋" w:hAnsi="仿宋" w:eastAsia="仿宋" w:cs="仿宋"/>
                <w:b w:val="0"/>
                <w:bCs/>
                <w:color w:val="auto"/>
                <w:sz w:val="22"/>
                <w:szCs w:val="22"/>
              </w:rPr>
              <w:t>所有产品的质保期均优于招标文件要求，每增加1年质保期得0.5分，本项最高得1分。</w:t>
            </w:r>
          </w:p>
        </w:tc>
      </w:tr>
    </w:tbl>
    <w:p w14:paraId="4BE79B05">
      <w:pPr>
        <w:keepNext w:val="0"/>
        <w:keepLines w:val="0"/>
        <w:pageBreakBefore w:val="0"/>
        <w:widowControl w:val="0"/>
        <w:kinsoku/>
        <w:wordWrap/>
        <w:overflowPunct/>
        <w:topLinePunct w:val="0"/>
        <w:autoSpaceDE/>
        <w:autoSpaceDN/>
        <w:bidi w:val="0"/>
        <w:adjustRightInd/>
        <w:snapToGrid/>
        <w:spacing w:line="500" w:lineRule="exact"/>
        <w:ind w:firstLine="442" w:firstLineChars="200"/>
        <w:jc w:val="left"/>
        <w:textAlignment w:val="auto"/>
        <w:rPr>
          <w:rFonts w:hint="eastAsia" w:ascii="仿宋" w:hAnsi="仿宋" w:eastAsia="仿宋" w:cs="仿宋"/>
          <w:b/>
          <w:bCs/>
          <w:i/>
          <w:iCs/>
          <w:color w:val="auto"/>
          <w:sz w:val="22"/>
          <w:szCs w:val="22"/>
          <w:lang w:val="en-US" w:eastAsia="zh-CN"/>
        </w:rPr>
      </w:pPr>
      <w:r>
        <w:rPr>
          <w:rFonts w:hint="eastAsia" w:ascii="仿宋" w:hAnsi="仿宋" w:eastAsia="仿宋" w:cs="仿宋"/>
          <w:b/>
          <w:bCs/>
          <w:i/>
          <w:iCs/>
          <w:color w:val="auto"/>
          <w:sz w:val="22"/>
          <w:szCs w:val="22"/>
          <w:lang w:val="en-US" w:eastAsia="zh-CN"/>
        </w:rPr>
        <w:t>评分标准编制注意事项（提交时应删除）</w:t>
      </w:r>
    </w:p>
    <w:p w14:paraId="7134BA2F">
      <w:pPr>
        <w:keepNext w:val="0"/>
        <w:keepLines w:val="0"/>
        <w:pageBreakBefore w:val="0"/>
        <w:widowControl w:val="0"/>
        <w:kinsoku/>
        <w:wordWrap/>
        <w:overflowPunct/>
        <w:topLinePunct w:val="0"/>
        <w:autoSpaceDE/>
        <w:autoSpaceDN/>
        <w:bidi w:val="0"/>
        <w:adjustRightInd/>
        <w:snapToGrid/>
        <w:spacing w:line="500" w:lineRule="exact"/>
        <w:ind w:firstLine="440" w:firstLineChars="200"/>
        <w:jc w:val="left"/>
        <w:textAlignment w:val="auto"/>
        <w:rPr>
          <w:rFonts w:hint="default" w:ascii="仿宋" w:hAnsi="仿宋" w:eastAsia="仿宋" w:cs="仿宋"/>
          <w:i/>
          <w:iCs/>
          <w:color w:val="auto"/>
          <w:sz w:val="22"/>
          <w:szCs w:val="22"/>
          <w:lang w:val="en-US" w:eastAsia="zh-CN"/>
        </w:rPr>
      </w:pPr>
      <w:r>
        <w:rPr>
          <w:rFonts w:hint="eastAsia" w:ascii="仿宋" w:hAnsi="仿宋" w:eastAsia="仿宋" w:cs="仿宋"/>
          <w:i/>
          <w:iCs/>
          <w:color w:val="auto"/>
          <w:sz w:val="22"/>
          <w:szCs w:val="22"/>
          <w:lang w:val="en-US" w:eastAsia="zh-CN"/>
        </w:rPr>
        <w:t>①不得将投标人的注册资本、资产总额、营业收入、从业人员、利润、纳税额等规模条件作为资格要求或者评审因素，也不得通过将除进口货物以外的生产厂家授权、承诺、证明、背书等作为资格要求</w:t>
      </w:r>
    </w:p>
    <w:p w14:paraId="2346D8CA">
      <w:pPr>
        <w:keepNext w:val="0"/>
        <w:keepLines w:val="0"/>
        <w:pageBreakBefore w:val="0"/>
        <w:widowControl w:val="0"/>
        <w:kinsoku/>
        <w:wordWrap/>
        <w:overflowPunct/>
        <w:topLinePunct w:val="0"/>
        <w:autoSpaceDE/>
        <w:autoSpaceDN/>
        <w:bidi w:val="0"/>
        <w:adjustRightInd/>
        <w:snapToGrid/>
        <w:spacing w:line="500" w:lineRule="exact"/>
        <w:ind w:firstLine="440" w:firstLineChars="200"/>
        <w:jc w:val="left"/>
        <w:textAlignment w:val="auto"/>
        <w:rPr>
          <w:rFonts w:hint="eastAsia" w:ascii="仿宋" w:hAnsi="仿宋" w:eastAsia="仿宋" w:cs="仿宋"/>
          <w:i/>
          <w:iCs/>
          <w:color w:val="auto"/>
          <w:sz w:val="22"/>
          <w:szCs w:val="22"/>
          <w:lang w:val="en-US" w:eastAsia="zh-CN"/>
        </w:rPr>
      </w:pPr>
      <w:r>
        <w:rPr>
          <w:rFonts w:hint="eastAsia" w:ascii="仿宋" w:hAnsi="仿宋" w:eastAsia="仿宋" w:cs="仿宋"/>
          <w:i/>
          <w:iCs/>
          <w:color w:val="auto"/>
          <w:sz w:val="22"/>
          <w:szCs w:val="22"/>
        </w:rPr>
        <w:t>②评分标准应当细化和量化，与投标人所提供货物服务的质量相关包括投标报价、技术或服务水平、履约能力、售后服务等；评审因素的设置需要与采购需求对应，与合同履约相关。参与评分的指标应当是采购需求中的量化指标，评分项应按照量化指标的等次，设置对应的不同分值；资格条件不得作为评审因素。</w:t>
      </w:r>
      <w:r>
        <w:rPr>
          <w:rFonts w:hint="eastAsia" w:ascii="仿宋" w:hAnsi="仿宋" w:eastAsia="仿宋" w:cs="仿宋"/>
          <w:i/>
          <w:iCs/>
          <w:color w:val="auto"/>
          <w:sz w:val="22"/>
          <w:szCs w:val="22"/>
          <w:lang w:val="en-US" w:eastAsia="zh-CN"/>
        </w:rPr>
        <w:t xml:space="preserve">  </w:t>
      </w:r>
    </w:p>
    <w:p w14:paraId="18098D0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 w:hAnsi="仿宋" w:eastAsia="仿宋" w:cs="仿宋"/>
          <w:i/>
          <w:iCs/>
          <w:color w:val="auto"/>
          <w:sz w:val="22"/>
          <w:szCs w:val="22"/>
          <w:lang w:val="en-US" w:eastAsia="zh-CN"/>
        </w:rPr>
      </w:pPr>
      <w:r>
        <w:rPr>
          <w:rFonts w:hint="eastAsia" w:ascii="仿宋" w:hAnsi="仿宋" w:eastAsia="仿宋" w:cs="仿宋"/>
          <w:i/>
          <w:iCs/>
          <w:color w:val="auto"/>
          <w:sz w:val="22"/>
          <w:szCs w:val="22"/>
          <w:lang w:val="en-US" w:eastAsia="zh-CN"/>
        </w:rPr>
        <w:t xml:space="preserve">    </w:t>
      </w:r>
      <w:r>
        <w:rPr>
          <w:rFonts w:hint="eastAsia" w:ascii="仿宋" w:hAnsi="仿宋" w:eastAsia="仿宋" w:cs="仿宋"/>
          <w:i/>
          <w:iCs/>
          <w:color w:val="auto"/>
          <w:sz w:val="22"/>
          <w:szCs w:val="22"/>
        </w:rPr>
        <w:t>2.包2</w:t>
      </w:r>
      <w:r>
        <w:rPr>
          <w:rFonts w:hint="eastAsia" w:ascii="仿宋" w:hAnsi="仿宋" w:eastAsia="仿宋" w:cs="仿宋"/>
          <w:i/>
          <w:iCs/>
          <w:color w:val="auto"/>
          <w:sz w:val="22"/>
          <w:szCs w:val="22"/>
          <w:lang w:val="en-US" w:eastAsia="zh-CN"/>
        </w:rPr>
        <w:t xml:space="preserve">  ...</w:t>
      </w:r>
    </w:p>
    <w:p w14:paraId="49151E46">
      <w:pPr>
        <w:spacing w:line="560" w:lineRule="exact"/>
        <w:ind w:firstLine="440" w:firstLineChars="200"/>
        <w:jc w:val="left"/>
        <w:rPr>
          <w:rFonts w:ascii="黑体" w:hAnsi="黑体" w:eastAsia="黑体"/>
          <w:color w:val="auto"/>
          <w:sz w:val="32"/>
          <w:szCs w:val="32"/>
        </w:rPr>
      </w:pPr>
      <w:r>
        <w:rPr>
          <w:rFonts w:hint="eastAsia" w:ascii="仿宋" w:hAnsi="仿宋" w:eastAsia="仿宋" w:cs="仿宋"/>
          <w:i/>
          <w:iCs/>
          <w:color w:val="auto"/>
          <w:sz w:val="22"/>
          <w:szCs w:val="22"/>
          <w:lang w:val="en-US" w:eastAsia="zh-CN"/>
        </w:rPr>
        <w:t xml:space="preserve">    </w:t>
      </w:r>
      <w:r>
        <w:rPr>
          <w:rFonts w:hint="eastAsia" w:ascii="黑体" w:hAnsi="黑体" w:eastAsia="黑体"/>
          <w:color w:val="auto"/>
          <w:sz w:val="32"/>
          <w:szCs w:val="32"/>
          <w:lang w:val="en-US" w:eastAsia="zh-CN"/>
        </w:rPr>
        <w:t>四</w:t>
      </w:r>
      <w:r>
        <w:rPr>
          <w:rFonts w:hint="eastAsia" w:ascii="黑体" w:hAnsi="黑体" w:eastAsia="黑体"/>
          <w:color w:val="auto"/>
          <w:sz w:val="32"/>
          <w:szCs w:val="32"/>
        </w:rPr>
        <w:t>、合同管理安排</w:t>
      </w:r>
    </w:p>
    <w:p w14:paraId="48913587">
      <w:pPr>
        <w:spacing w:line="560" w:lineRule="exact"/>
        <w:ind w:firstLine="640" w:firstLineChars="200"/>
        <w:jc w:val="left"/>
        <w:rPr>
          <w:rFonts w:hint="eastAsia" w:ascii="楷体_GB2312" w:hAnsi="楷体" w:eastAsia="楷体_GB2312"/>
          <w:color w:val="auto"/>
          <w:sz w:val="32"/>
          <w:szCs w:val="32"/>
        </w:rPr>
      </w:pPr>
      <w:r>
        <w:rPr>
          <w:rFonts w:hint="eastAsia" w:ascii="楷体_GB2312" w:hAnsi="楷体" w:eastAsia="楷体_GB2312"/>
          <w:color w:val="auto"/>
          <w:sz w:val="32"/>
          <w:szCs w:val="32"/>
        </w:rPr>
        <w:t>（一）合同类型</w:t>
      </w:r>
    </w:p>
    <w:p w14:paraId="3DE8B988">
      <w:pPr>
        <w:spacing w:line="560" w:lineRule="exact"/>
        <w:ind w:firstLine="480" w:firstLineChars="200"/>
        <w:jc w:val="left"/>
        <w:rPr>
          <w:rFonts w:hint="eastAsia" w:ascii="仿宋" w:hAnsi="仿宋" w:eastAsia="仿宋"/>
          <w:i/>
          <w:color w:val="auto"/>
          <w:sz w:val="24"/>
          <w:szCs w:val="24"/>
          <w:u w:val="single"/>
        </w:rPr>
      </w:pPr>
      <w:r>
        <w:rPr>
          <w:rFonts w:hint="eastAsia" w:ascii="仿宋" w:hAnsi="仿宋" w:eastAsia="仿宋"/>
          <w:i/>
          <w:color w:val="auto"/>
          <w:sz w:val="24"/>
          <w:szCs w:val="24"/>
          <w:u w:val="single"/>
        </w:rPr>
        <w:t>合同类型按照民法典规定的典型合同类别，结合采购标的的实际情况确定。</w:t>
      </w:r>
    </w:p>
    <w:p w14:paraId="5E38BE61">
      <w:pPr>
        <w:spacing w:line="560" w:lineRule="exact"/>
        <w:ind w:firstLine="480" w:firstLineChars="200"/>
        <w:jc w:val="left"/>
        <w:rPr>
          <w:rFonts w:hint="eastAsia" w:ascii="仿宋" w:hAnsi="仿宋" w:eastAsia="仿宋"/>
          <w:i/>
          <w:color w:val="auto"/>
          <w:sz w:val="24"/>
          <w:szCs w:val="24"/>
          <w:u w:val="single"/>
        </w:rPr>
      </w:pPr>
      <w:r>
        <w:rPr>
          <w:rFonts w:hint="eastAsia" w:ascii="仿宋" w:hAnsi="仿宋" w:eastAsia="仿宋"/>
          <w:i/>
          <w:color w:val="auto"/>
          <w:sz w:val="24"/>
          <w:szCs w:val="24"/>
          <w:u w:val="single"/>
        </w:rPr>
        <w:t>买卖合同：是出卖人转移标的物的所有权于买受人，买受人支付价款的合同。一般包括标的物的名称、数量、质量、价款、履行期限、履行地点和方式、包装方式、检验标准和方法、结算方式、合同使用的文字及其效力等条款。</w:t>
      </w:r>
    </w:p>
    <w:p w14:paraId="789B7953">
      <w:pPr>
        <w:spacing w:line="560" w:lineRule="exact"/>
        <w:ind w:firstLine="480" w:firstLineChars="200"/>
        <w:jc w:val="left"/>
        <w:rPr>
          <w:rFonts w:hint="eastAsia" w:ascii="仿宋" w:hAnsi="仿宋" w:eastAsia="仿宋"/>
          <w:i/>
          <w:color w:val="auto"/>
          <w:sz w:val="24"/>
          <w:szCs w:val="24"/>
          <w:u w:val="single"/>
        </w:rPr>
      </w:pPr>
      <w:r>
        <w:rPr>
          <w:rFonts w:hint="eastAsia" w:ascii="仿宋" w:hAnsi="仿宋" w:eastAsia="仿宋"/>
          <w:i/>
          <w:color w:val="auto"/>
          <w:sz w:val="24"/>
          <w:szCs w:val="24"/>
          <w:u w:val="single"/>
        </w:rPr>
        <w:t>建设工程合同：是承包人进行工程建设，发包人支付价款的合同。包括工程勘察、设计、施工合同。</w:t>
      </w:r>
    </w:p>
    <w:p w14:paraId="06EFB9F8">
      <w:pPr>
        <w:spacing w:line="560" w:lineRule="exact"/>
        <w:ind w:firstLine="480" w:firstLineChars="200"/>
        <w:jc w:val="left"/>
        <w:rPr>
          <w:rFonts w:hint="eastAsia" w:ascii="仿宋" w:hAnsi="仿宋" w:eastAsia="仿宋"/>
          <w:i/>
          <w:color w:val="auto"/>
          <w:sz w:val="24"/>
          <w:szCs w:val="24"/>
          <w:u w:val="single"/>
        </w:rPr>
      </w:pPr>
      <w:r>
        <w:rPr>
          <w:rFonts w:hint="eastAsia" w:ascii="仿宋" w:hAnsi="仿宋" w:eastAsia="仿宋"/>
          <w:i/>
          <w:color w:val="auto"/>
          <w:sz w:val="24"/>
          <w:szCs w:val="24"/>
          <w:u w:val="single"/>
        </w:rPr>
        <w:t>技术合同：是当事人就技术开发、转让、许可、咨询或者服务订立的确立相互之间权利和义务的合同。包括技术转让合同、技术许可合同、技术咨询合同、技术服务合同。</w:t>
      </w:r>
    </w:p>
    <w:p w14:paraId="401BE3EF">
      <w:pPr>
        <w:spacing w:line="560" w:lineRule="exact"/>
        <w:ind w:firstLine="480" w:firstLineChars="200"/>
        <w:jc w:val="left"/>
        <w:rPr>
          <w:rFonts w:hint="eastAsia" w:ascii="仿宋" w:hAnsi="仿宋" w:eastAsia="仿宋"/>
          <w:i/>
          <w:color w:val="auto"/>
          <w:sz w:val="24"/>
          <w:szCs w:val="24"/>
          <w:u w:val="single"/>
        </w:rPr>
      </w:pPr>
      <w:r>
        <w:rPr>
          <w:rFonts w:hint="eastAsia" w:ascii="仿宋" w:hAnsi="仿宋" w:eastAsia="仿宋"/>
          <w:i/>
          <w:color w:val="auto"/>
          <w:sz w:val="24"/>
          <w:szCs w:val="24"/>
          <w:u w:val="single"/>
        </w:rPr>
        <w:t>物业服务合同：是物业服务人在物业服务区域内，为业主提供建筑物及其附属设施的维修养护、环境卫生和相关秩序的管理维护等物业服务，业主支付物业费的合同。</w:t>
      </w:r>
    </w:p>
    <w:p w14:paraId="12086732">
      <w:pPr>
        <w:spacing w:line="560" w:lineRule="exact"/>
        <w:ind w:firstLine="480" w:firstLineChars="200"/>
        <w:jc w:val="left"/>
        <w:rPr>
          <w:rFonts w:ascii="仿宋" w:hAnsi="仿宋" w:eastAsia="仿宋"/>
          <w:i/>
          <w:color w:val="auto"/>
          <w:sz w:val="24"/>
          <w:szCs w:val="24"/>
          <w:u w:val="single"/>
        </w:rPr>
      </w:pPr>
      <w:r>
        <w:rPr>
          <w:rFonts w:hint="eastAsia" w:ascii="仿宋" w:hAnsi="仿宋" w:eastAsia="仿宋"/>
          <w:i/>
          <w:color w:val="auto"/>
          <w:sz w:val="24"/>
          <w:szCs w:val="24"/>
          <w:u w:val="single"/>
        </w:rPr>
        <w:t>委托合同：是委托人和受托人约定，由受托人处理委托人事务的合同。</w:t>
      </w:r>
    </w:p>
    <w:p w14:paraId="05100F58">
      <w:pPr>
        <w:spacing w:line="560" w:lineRule="exact"/>
        <w:ind w:firstLine="640" w:firstLineChars="200"/>
        <w:jc w:val="left"/>
        <w:rPr>
          <w:rFonts w:hint="eastAsia" w:ascii="仿宋_GB2312" w:hAnsi="楷体" w:eastAsia="仿宋_GB2312"/>
          <w:color w:val="auto"/>
          <w:sz w:val="32"/>
          <w:szCs w:val="32"/>
        </w:rPr>
      </w:pPr>
      <w:r>
        <w:rPr>
          <w:rFonts w:hint="eastAsia" w:ascii="仿宋_GB2312" w:hAnsi="楷体" w:eastAsia="仿宋_GB2312"/>
          <w:color w:val="auto"/>
          <w:sz w:val="32"/>
          <w:szCs w:val="32"/>
        </w:rPr>
        <w:t>1.包1</w:t>
      </w:r>
    </w:p>
    <w:p w14:paraId="36D98951">
      <w:pPr>
        <w:spacing w:line="560" w:lineRule="exact"/>
        <w:ind w:firstLine="640" w:firstLineChars="200"/>
        <w:jc w:val="left"/>
        <w:rPr>
          <w:rFonts w:hint="eastAsia" w:ascii="仿宋_GB2312" w:hAnsi="仿宋" w:eastAsia="仿宋_GB2312"/>
          <w:color w:val="auto"/>
          <w:sz w:val="32"/>
          <w:szCs w:val="32"/>
        </w:rPr>
      </w:pPr>
      <w:r>
        <w:rPr>
          <w:rFonts w:hint="eastAsia" w:hAnsi="仿宋"/>
          <w:color w:val="auto"/>
          <w:sz w:val="32"/>
          <w:szCs w:val="32"/>
          <w:lang w:eastAsia="zh-CN"/>
        </w:rPr>
        <w:t>□</w:t>
      </w:r>
      <w:r>
        <w:rPr>
          <w:rFonts w:hint="eastAsia" w:ascii="仿宋_GB2312" w:hAnsi="仿宋" w:eastAsia="仿宋_GB2312"/>
          <w:color w:val="auto"/>
          <w:sz w:val="32"/>
          <w:szCs w:val="32"/>
        </w:rPr>
        <w:t>买卖合同</w:t>
      </w:r>
    </w:p>
    <w:p w14:paraId="19E259E3">
      <w:pPr>
        <w:spacing w:line="560" w:lineRule="exact"/>
        <w:ind w:firstLine="640" w:firstLineChars="200"/>
        <w:jc w:val="left"/>
        <w:rPr>
          <w:rFonts w:hint="eastAsia" w:ascii="仿宋_GB2312" w:hAnsi="仿宋" w:eastAsia="仿宋_GB2312"/>
          <w:color w:val="auto"/>
          <w:sz w:val="32"/>
          <w:szCs w:val="32"/>
        </w:rPr>
      </w:pPr>
      <w:r>
        <w:rPr>
          <w:rFonts w:hint="eastAsia" w:ascii="仿宋_GB2312" w:hAnsi="仿宋" w:eastAsia="仿宋_GB2312"/>
          <w:color w:val="auto"/>
          <w:sz w:val="32"/>
          <w:szCs w:val="32"/>
        </w:rPr>
        <w:t>□建设工程合同</w:t>
      </w:r>
    </w:p>
    <w:p w14:paraId="7B61916E">
      <w:pPr>
        <w:spacing w:line="560" w:lineRule="exact"/>
        <w:ind w:firstLine="640" w:firstLineChars="200"/>
        <w:jc w:val="left"/>
        <w:rPr>
          <w:rFonts w:hint="eastAsia" w:ascii="仿宋_GB2312" w:hAnsi="仿宋" w:eastAsia="仿宋_GB2312"/>
          <w:color w:val="auto"/>
          <w:sz w:val="32"/>
          <w:szCs w:val="32"/>
        </w:rPr>
      </w:pPr>
      <w:r>
        <w:rPr>
          <w:rFonts w:hint="eastAsia" w:ascii="仿宋_GB2312" w:hAnsi="仿宋" w:eastAsia="仿宋_GB2312"/>
          <w:color w:val="auto"/>
          <w:sz w:val="32"/>
          <w:szCs w:val="32"/>
        </w:rPr>
        <w:t>□技术合同</w:t>
      </w:r>
    </w:p>
    <w:p w14:paraId="1067240A">
      <w:pPr>
        <w:spacing w:line="560" w:lineRule="exact"/>
        <w:ind w:firstLine="640" w:firstLineChars="200"/>
        <w:jc w:val="left"/>
        <w:rPr>
          <w:rFonts w:hint="eastAsia" w:ascii="仿宋_GB2312" w:hAnsi="仿宋" w:eastAsia="仿宋_GB2312"/>
          <w:color w:val="auto"/>
          <w:sz w:val="32"/>
          <w:szCs w:val="32"/>
        </w:rPr>
      </w:pPr>
      <w:r>
        <w:rPr>
          <w:rFonts w:hint="eastAsia" w:ascii="仿宋_GB2312" w:hAnsi="仿宋" w:eastAsia="仿宋_GB2312"/>
          <w:color w:val="auto"/>
          <w:sz w:val="32"/>
          <w:szCs w:val="32"/>
        </w:rPr>
        <w:t>□物业服务合同</w:t>
      </w:r>
    </w:p>
    <w:p w14:paraId="1AA44234">
      <w:pPr>
        <w:spacing w:line="560" w:lineRule="exact"/>
        <w:ind w:firstLine="640" w:firstLineChars="200"/>
        <w:jc w:val="left"/>
        <w:rPr>
          <w:rFonts w:hint="eastAsia" w:ascii="仿宋_GB2312" w:hAnsi="仿宋" w:eastAsia="仿宋_GB2312"/>
          <w:color w:val="auto"/>
          <w:sz w:val="32"/>
          <w:szCs w:val="32"/>
        </w:rPr>
      </w:pPr>
      <w:r>
        <w:rPr>
          <w:rFonts w:hint="eastAsia" w:ascii="仿宋_GB2312" w:hAnsi="仿宋" w:eastAsia="仿宋_GB2312"/>
          <w:color w:val="auto"/>
          <w:sz w:val="32"/>
          <w:szCs w:val="32"/>
        </w:rPr>
        <w:t>□委托合同</w:t>
      </w:r>
    </w:p>
    <w:p w14:paraId="23903BB3">
      <w:pPr>
        <w:spacing w:line="560" w:lineRule="exact"/>
        <w:ind w:firstLine="640" w:firstLineChars="200"/>
        <w:jc w:val="left"/>
        <w:rPr>
          <w:rFonts w:hint="eastAsia" w:ascii="仿宋_GB2312" w:hAnsi="仿宋" w:eastAsia="仿宋_GB2312"/>
          <w:color w:val="auto"/>
          <w:sz w:val="32"/>
          <w:szCs w:val="32"/>
          <w:u w:val="single"/>
        </w:rPr>
      </w:pPr>
      <w:r>
        <w:rPr>
          <w:rFonts w:hint="eastAsia" w:hAnsi="仿宋"/>
          <w:color w:val="auto"/>
          <w:sz w:val="32"/>
          <w:szCs w:val="32"/>
          <w:lang w:eastAsia="zh-CN"/>
        </w:rPr>
        <w:t>□</w:t>
      </w:r>
      <w:r>
        <w:rPr>
          <w:rFonts w:hint="eastAsia" w:ascii="仿宋_GB2312" w:hAnsi="仿宋" w:eastAsia="仿宋_GB2312"/>
          <w:color w:val="auto"/>
          <w:sz w:val="32"/>
          <w:szCs w:val="32"/>
        </w:rPr>
        <w:t>其他：</w:t>
      </w:r>
      <w:r>
        <w:rPr>
          <w:rFonts w:hint="eastAsia" w:ascii="仿宋_GB2312" w:hAnsi="仿宋" w:eastAsia="仿宋_GB2312"/>
          <w:color w:val="auto"/>
          <w:sz w:val="32"/>
          <w:szCs w:val="32"/>
          <w:u w:val="single"/>
        </w:rPr>
        <w:t xml:space="preserve">                               </w:t>
      </w:r>
    </w:p>
    <w:p w14:paraId="0C9C6DA8">
      <w:pPr>
        <w:spacing w:line="560" w:lineRule="exact"/>
        <w:ind w:firstLine="640" w:firstLineChars="200"/>
        <w:jc w:val="left"/>
        <w:rPr>
          <w:rFonts w:hint="eastAsia" w:ascii="仿宋_GB2312" w:hAnsi="仿宋" w:eastAsia="仿宋_GB2312"/>
          <w:color w:val="auto"/>
          <w:sz w:val="32"/>
          <w:szCs w:val="32"/>
          <w:u w:val="single"/>
        </w:rPr>
      </w:pPr>
      <w:r>
        <w:rPr>
          <w:rFonts w:hint="eastAsia" w:ascii="仿宋_GB2312" w:hAnsi="仿宋" w:eastAsia="仿宋_GB2312"/>
          <w:color w:val="auto"/>
          <w:sz w:val="32"/>
          <w:szCs w:val="32"/>
        </w:rPr>
        <w:t>选择合同类型的理由：</w:t>
      </w:r>
      <w:r>
        <w:rPr>
          <w:rFonts w:hint="eastAsia" w:ascii="仿宋_GB2312" w:hAnsi="仿宋" w:eastAsia="仿宋_GB2312"/>
          <w:color w:val="auto"/>
          <w:sz w:val="32"/>
          <w:szCs w:val="32"/>
          <w:u w:val="single"/>
        </w:rPr>
        <w:t xml:space="preserve">                   </w:t>
      </w:r>
    </w:p>
    <w:p w14:paraId="4321A448">
      <w:pPr>
        <w:spacing w:line="560" w:lineRule="exact"/>
        <w:ind w:firstLine="640" w:firstLineChars="200"/>
        <w:jc w:val="left"/>
        <w:rPr>
          <w:rFonts w:hint="eastAsia" w:ascii="仿宋_GB2312" w:hAnsi="楷体" w:eastAsia="仿宋_GB2312"/>
          <w:color w:val="auto"/>
          <w:sz w:val="32"/>
          <w:szCs w:val="32"/>
        </w:rPr>
      </w:pPr>
      <w:r>
        <w:rPr>
          <w:rFonts w:hint="eastAsia" w:ascii="仿宋_GB2312" w:hAnsi="楷体" w:eastAsia="仿宋_GB2312"/>
          <w:color w:val="auto"/>
          <w:sz w:val="32"/>
          <w:szCs w:val="32"/>
        </w:rPr>
        <w:t>2.包2</w:t>
      </w:r>
    </w:p>
    <w:p w14:paraId="66CABC13">
      <w:pPr>
        <w:spacing w:line="560" w:lineRule="exact"/>
        <w:ind w:firstLine="640" w:firstLineChars="200"/>
        <w:jc w:val="left"/>
        <w:rPr>
          <w:rFonts w:hint="eastAsia" w:ascii="仿宋_GB2312" w:hAnsi="仿宋" w:eastAsia="仿宋_GB2312"/>
          <w:color w:val="auto"/>
          <w:sz w:val="32"/>
          <w:szCs w:val="32"/>
        </w:rPr>
      </w:pPr>
      <w:r>
        <w:rPr>
          <w:rFonts w:hint="eastAsia" w:ascii="仿宋_GB2312" w:hAnsi="仿宋" w:eastAsia="仿宋_GB2312"/>
          <w:color w:val="auto"/>
          <w:sz w:val="32"/>
          <w:szCs w:val="32"/>
        </w:rPr>
        <w:t>……</w:t>
      </w:r>
    </w:p>
    <w:p w14:paraId="064C7286">
      <w:pPr>
        <w:spacing w:line="560" w:lineRule="exact"/>
        <w:ind w:firstLine="640" w:firstLineChars="200"/>
        <w:jc w:val="left"/>
        <w:rPr>
          <w:rFonts w:ascii="楷体_GB2312" w:hAnsi="楷体" w:eastAsia="楷体_GB2312"/>
          <w:color w:val="auto"/>
          <w:sz w:val="32"/>
          <w:szCs w:val="32"/>
        </w:rPr>
      </w:pPr>
      <w:r>
        <w:rPr>
          <w:rFonts w:hint="eastAsia" w:ascii="楷体_GB2312" w:hAnsi="楷体" w:eastAsia="楷体_GB2312"/>
          <w:color w:val="auto"/>
          <w:sz w:val="32"/>
          <w:szCs w:val="32"/>
        </w:rPr>
        <w:t>（二）定价方式</w:t>
      </w:r>
    </w:p>
    <w:p w14:paraId="7C470814">
      <w:pPr>
        <w:spacing w:line="560" w:lineRule="exact"/>
        <w:ind w:firstLine="480" w:firstLineChars="200"/>
        <w:jc w:val="left"/>
        <w:rPr>
          <w:rFonts w:ascii="仿宋" w:hAnsi="仿宋" w:eastAsia="仿宋"/>
          <w:i/>
          <w:color w:val="auto"/>
          <w:sz w:val="24"/>
          <w:szCs w:val="24"/>
          <w:u w:val="single"/>
        </w:rPr>
      </w:pPr>
      <w:r>
        <w:rPr>
          <w:rFonts w:hint="eastAsia" w:ascii="仿宋" w:hAnsi="仿宋" w:eastAsia="仿宋"/>
          <w:i/>
          <w:color w:val="auto"/>
          <w:sz w:val="24"/>
          <w:szCs w:val="24"/>
          <w:u w:val="single"/>
        </w:rPr>
        <w:t>采购需求客观、明确且规格、标准统一的采购项目，如通用设备、物业管理等，采用固定总价或者固定单价的定价方式。</w:t>
      </w:r>
    </w:p>
    <w:p w14:paraId="63088FF5">
      <w:pPr>
        <w:spacing w:line="560" w:lineRule="exact"/>
        <w:ind w:firstLine="480" w:firstLineChars="200"/>
        <w:jc w:val="left"/>
        <w:rPr>
          <w:rFonts w:ascii="仿宋" w:hAnsi="仿宋" w:eastAsia="仿宋"/>
          <w:i/>
          <w:color w:val="auto"/>
          <w:sz w:val="24"/>
          <w:szCs w:val="24"/>
          <w:u w:val="single"/>
        </w:rPr>
      </w:pPr>
      <w:r>
        <w:rPr>
          <w:rFonts w:hint="eastAsia" w:ascii="仿宋" w:hAnsi="仿宋" w:eastAsia="仿宋"/>
          <w:i/>
          <w:color w:val="auto"/>
          <w:sz w:val="24"/>
          <w:szCs w:val="24"/>
          <w:u w:val="single"/>
        </w:rPr>
        <w:t>采购需求客观、明确，且技术较复杂或者专业性较强的采购项目，如大型装备、咨询服务等，采用固定总价或者固定单价的定价方式。</w:t>
      </w:r>
    </w:p>
    <w:p w14:paraId="2B4A2645">
      <w:pPr>
        <w:spacing w:line="560" w:lineRule="exact"/>
        <w:ind w:firstLine="480" w:firstLineChars="200"/>
        <w:jc w:val="left"/>
        <w:rPr>
          <w:rFonts w:ascii="仿宋" w:hAnsi="仿宋" w:eastAsia="仿宋"/>
          <w:i/>
          <w:color w:val="auto"/>
          <w:sz w:val="24"/>
          <w:szCs w:val="24"/>
          <w:u w:val="single"/>
        </w:rPr>
      </w:pPr>
      <w:r>
        <w:rPr>
          <w:rFonts w:hint="eastAsia" w:ascii="仿宋" w:hAnsi="仿宋" w:eastAsia="仿宋"/>
          <w:i/>
          <w:color w:val="auto"/>
          <w:sz w:val="24"/>
          <w:szCs w:val="24"/>
          <w:u w:val="single"/>
        </w:rPr>
        <w:t>不能完全确定客观指标，需由供应商提供设计方案、解决方案或者组织方案的采购项目，如首购订购、设计服务、政府和社会资本合作等，根据实现项目目标的要求，采取固定总价或者固定单价、成本补偿、绩效激励等单一或者组合定价方式。</w:t>
      </w:r>
    </w:p>
    <w:p w14:paraId="28A147D5">
      <w:pPr>
        <w:spacing w:line="560" w:lineRule="exact"/>
        <w:ind w:firstLine="640" w:firstLineChars="200"/>
        <w:jc w:val="left"/>
        <w:rPr>
          <w:rFonts w:ascii="仿宋_GB2312" w:hAnsi="楷体" w:eastAsia="仿宋_GB2312"/>
          <w:color w:val="auto"/>
          <w:sz w:val="32"/>
          <w:szCs w:val="32"/>
        </w:rPr>
      </w:pPr>
      <w:r>
        <w:rPr>
          <w:rFonts w:hint="eastAsia" w:ascii="仿宋_GB2312" w:hAnsi="楷体" w:eastAsia="仿宋_GB2312"/>
          <w:color w:val="auto"/>
          <w:sz w:val="32"/>
          <w:szCs w:val="32"/>
        </w:rPr>
        <w:t>1.包1</w:t>
      </w:r>
    </w:p>
    <w:p w14:paraId="1D1A7511">
      <w:pPr>
        <w:spacing w:line="560" w:lineRule="exact"/>
        <w:ind w:firstLine="640" w:firstLineChars="200"/>
        <w:jc w:val="left"/>
        <w:rPr>
          <w:rFonts w:ascii="仿宋_GB2312" w:hAnsi="楷体" w:eastAsia="仿宋_GB2312"/>
          <w:color w:val="auto"/>
          <w:sz w:val="32"/>
          <w:szCs w:val="32"/>
        </w:rPr>
      </w:pPr>
      <w:r>
        <w:rPr>
          <w:rFonts w:hint="eastAsia" w:ascii="仿宋_GB2312" w:hAnsi="楷体" w:eastAsia="仿宋_GB2312"/>
          <w:color w:val="auto"/>
          <w:sz w:val="32"/>
          <w:szCs w:val="32"/>
        </w:rPr>
        <w:t xml:space="preserve">□固定总价，要求：                     </w:t>
      </w:r>
    </w:p>
    <w:p w14:paraId="0E09783D">
      <w:pPr>
        <w:spacing w:line="560" w:lineRule="exact"/>
        <w:ind w:firstLine="640" w:firstLineChars="200"/>
        <w:jc w:val="left"/>
        <w:rPr>
          <w:rFonts w:ascii="仿宋_GB2312" w:hAnsi="楷体" w:eastAsia="仿宋_GB2312"/>
          <w:color w:val="auto"/>
          <w:sz w:val="32"/>
          <w:szCs w:val="32"/>
        </w:rPr>
      </w:pPr>
      <w:r>
        <w:rPr>
          <w:rFonts w:hint="eastAsia" w:ascii="仿宋_GB2312" w:hAnsi="楷体" w:eastAsia="仿宋_GB2312"/>
          <w:color w:val="auto"/>
          <w:sz w:val="32"/>
          <w:szCs w:val="32"/>
        </w:rPr>
        <w:t xml:space="preserve">□固定单价，要求：                     </w:t>
      </w:r>
    </w:p>
    <w:p w14:paraId="22861251">
      <w:pPr>
        <w:spacing w:line="560" w:lineRule="exact"/>
        <w:ind w:firstLine="640" w:firstLineChars="200"/>
        <w:jc w:val="left"/>
        <w:rPr>
          <w:rFonts w:ascii="仿宋_GB2312" w:hAnsi="楷体" w:eastAsia="仿宋_GB2312"/>
          <w:color w:val="auto"/>
          <w:sz w:val="32"/>
          <w:szCs w:val="32"/>
        </w:rPr>
      </w:pPr>
      <w:r>
        <w:rPr>
          <w:rFonts w:hint="eastAsia" w:ascii="仿宋_GB2312" w:hAnsi="楷体" w:eastAsia="仿宋_GB2312"/>
          <w:color w:val="auto"/>
          <w:sz w:val="32"/>
          <w:szCs w:val="32"/>
        </w:rPr>
        <w:t xml:space="preserve">□成本补偿，要求：                     </w:t>
      </w:r>
    </w:p>
    <w:p w14:paraId="6752F114">
      <w:pPr>
        <w:spacing w:line="560" w:lineRule="exact"/>
        <w:ind w:firstLine="640" w:firstLineChars="200"/>
        <w:jc w:val="left"/>
        <w:rPr>
          <w:rFonts w:hint="eastAsia" w:ascii="仿宋_GB2312" w:hAnsi="楷体" w:eastAsia="仿宋_GB2312"/>
          <w:color w:val="auto"/>
          <w:sz w:val="32"/>
          <w:szCs w:val="32"/>
        </w:rPr>
      </w:pPr>
      <w:r>
        <w:rPr>
          <w:rFonts w:hint="eastAsia" w:ascii="仿宋_GB2312" w:hAnsi="楷体" w:eastAsia="仿宋_GB2312"/>
          <w:color w:val="auto"/>
          <w:sz w:val="32"/>
          <w:szCs w:val="32"/>
        </w:rPr>
        <w:t xml:space="preserve">□绩效激励，要求：                     </w:t>
      </w:r>
    </w:p>
    <w:p w14:paraId="666159C8">
      <w:pPr>
        <w:spacing w:line="560" w:lineRule="exact"/>
        <w:ind w:firstLine="640" w:firstLineChars="200"/>
        <w:jc w:val="left"/>
        <w:rPr>
          <w:rFonts w:hint="eastAsia" w:ascii="仿宋_GB2312" w:hAnsi="楷体" w:eastAsia="仿宋_GB2312"/>
          <w:color w:val="auto"/>
          <w:sz w:val="32"/>
          <w:szCs w:val="32"/>
          <w:u w:val="single"/>
        </w:rPr>
      </w:pPr>
      <w:r>
        <w:rPr>
          <w:rFonts w:hint="eastAsia" w:ascii="仿宋_GB2312" w:hAnsi="楷体" w:eastAsia="仿宋_GB2312"/>
          <w:color w:val="auto"/>
          <w:sz w:val="32"/>
          <w:szCs w:val="32"/>
        </w:rPr>
        <w:t>选择定价方式的理由：</w:t>
      </w:r>
      <w:r>
        <w:rPr>
          <w:rFonts w:hint="eastAsia" w:ascii="仿宋_GB2312" w:hAnsi="楷体" w:eastAsia="仿宋_GB2312"/>
          <w:color w:val="auto"/>
          <w:sz w:val="32"/>
          <w:szCs w:val="32"/>
          <w:u w:val="single"/>
        </w:rPr>
        <w:t xml:space="preserve">                   </w:t>
      </w:r>
    </w:p>
    <w:p w14:paraId="797711F4">
      <w:pPr>
        <w:spacing w:line="560" w:lineRule="exact"/>
        <w:ind w:firstLine="640" w:firstLineChars="200"/>
        <w:jc w:val="left"/>
        <w:rPr>
          <w:rFonts w:hint="eastAsia" w:ascii="仿宋_GB2312" w:hAnsi="楷体" w:eastAsia="仿宋_GB2312"/>
          <w:color w:val="auto"/>
          <w:sz w:val="32"/>
          <w:szCs w:val="32"/>
        </w:rPr>
      </w:pPr>
      <w:r>
        <w:rPr>
          <w:rFonts w:hint="eastAsia" w:ascii="仿宋_GB2312" w:hAnsi="楷体" w:eastAsia="仿宋_GB2312"/>
          <w:color w:val="auto"/>
          <w:sz w:val="32"/>
          <w:szCs w:val="32"/>
        </w:rPr>
        <w:t>2.包2</w:t>
      </w:r>
    </w:p>
    <w:p w14:paraId="33A485A4">
      <w:pPr>
        <w:spacing w:line="560" w:lineRule="exact"/>
        <w:ind w:firstLine="640" w:firstLineChars="200"/>
        <w:jc w:val="left"/>
        <w:rPr>
          <w:rFonts w:hint="eastAsia" w:ascii="仿宋_GB2312" w:hAnsi="楷体" w:eastAsia="仿宋_GB2312"/>
          <w:color w:val="auto"/>
          <w:sz w:val="32"/>
          <w:szCs w:val="32"/>
        </w:rPr>
      </w:pPr>
      <w:r>
        <w:rPr>
          <w:rFonts w:hint="eastAsia" w:ascii="仿宋_GB2312" w:hAnsi="仿宋" w:eastAsia="仿宋_GB2312"/>
          <w:color w:val="auto"/>
          <w:sz w:val="32"/>
          <w:szCs w:val="32"/>
        </w:rPr>
        <w:t>……</w:t>
      </w:r>
    </w:p>
    <w:p w14:paraId="1AACA475">
      <w:pPr>
        <w:pStyle w:val="2"/>
        <w:rPr>
          <w:rFonts w:hint="eastAsia" w:ascii="仿宋" w:hAnsi="仿宋" w:eastAsia="仿宋" w:cs="仿宋"/>
          <w:i/>
          <w:iCs/>
          <w:color w:val="auto"/>
          <w:sz w:val="22"/>
          <w:szCs w:val="22"/>
        </w:rPr>
      </w:pPr>
    </w:p>
    <w:p w14:paraId="6D4B0398">
      <w:pPr>
        <w:pStyle w:val="2"/>
        <w:rPr>
          <w:rFonts w:hint="eastAsia" w:ascii="仿宋" w:hAnsi="仿宋" w:eastAsia="仿宋" w:cs="仿宋"/>
          <w:i/>
          <w:iCs/>
          <w:color w:val="auto"/>
          <w:sz w:val="22"/>
          <w:szCs w:val="22"/>
        </w:rPr>
      </w:pPr>
    </w:p>
    <w:p w14:paraId="7401667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kern w:val="2"/>
          <w:sz w:val="32"/>
          <w:szCs w:val="32"/>
          <w:lang w:val="en-US" w:eastAsia="zh-CN" w:bidi="ar-SA"/>
        </w:rPr>
        <w:t>五、</w:t>
      </w:r>
      <w:r>
        <w:rPr>
          <w:rFonts w:hint="eastAsia" w:ascii="Times New Roman" w:hAnsi="Times New Roman" w:eastAsia="黑体" w:cs="Times New Roman"/>
          <w:color w:val="auto"/>
          <w:sz w:val="32"/>
          <w:szCs w:val="32"/>
          <w:lang w:val="en-US" w:eastAsia="zh-CN"/>
        </w:rPr>
        <w:t>采购组织形式</w:t>
      </w:r>
    </w:p>
    <w:p w14:paraId="01AF6522">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24"/>
          <w:szCs w:val="24"/>
          <w:lang w:val="en-US" w:eastAsia="zh-CN"/>
        </w:rPr>
        <w:t xml:space="preserve">□政府采购（200万元及以上）  </w:t>
      </w: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学校集中采购  □部门分散采购</w:t>
      </w:r>
    </w:p>
    <w:p w14:paraId="5AB1894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40" w:firstLineChars="200"/>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kern w:val="2"/>
          <w:sz w:val="32"/>
          <w:szCs w:val="32"/>
          <w:lang w:val="en-US" w:eastAsia="zh-CN" w:bidi="ar-SA"/>
        </w:rPr>
        <w:t>六、</w:t>
      </w:r>
      <w:r>
        <w:rPr>
          <w:rFonts w:hint="eastAsia" w:ascii="黑体" w:hAnsi="黑体" w:eastAsia="黑体" w:cs="黑体"/>
          <w:color w:val="auto"/>
          <w:sz w:val="32"/>
          <w:szCs w:val="32"/>
          <w:lang w:val="en-US" w:eastAsia="zh-CN"/>
        </w:rPr>
        <w:t>委托代理安排</w:t>
      </w:r>
    </w:p>
    <w:p w14:paraId="44C261E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3840" w:hanging="2880" w:hangingChars="1200"/>
        <w:jc w:val="lef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选择采购代理机构的方式及名称：</w:t>
      </w:r>
      <w:r>
        <w:rPr>
          <w:rFonts w:hint="eastAsia" w:ascii="仿宋" w:hAnsi="仿宋" w:eastAsia="仿宋" w:cs="仿宋"/>
          <w:color w:val="auto"/>
          <w:sz w:val="24"/>
          <w:szCs w:val="24"/>
          <w:u w:val="single"/>
          <w:lang w:val="en-US" w:eastAsia="zh-CN"/>
        </w:rPr>
        <w:t>严格按照制度及采购领导小组会议决定执行</w:t>
      </w:r>
    </w:p>
    <w:p w14:paraId="325347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840" w:firstLineChars="3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1. 选择方式：□随机抽取          </w:t>
      </w:r>
      <w:r>
        <w:rPr>
          <w:rFonts w:hint="eastAsia" w:ascii="仿宋" w:hAnsi="仿宋" w:eastAsia="仿宋" w:cs="仿宋"/>
          <w:color w:val="auto"/>
          <w:sz w:val="28"/>
          <w:szCs w:val="28"/>
          <w:lang w:val="en-US" w:eastAsia="zh-CN"/>
        </w:rPr>
        <w:sym w:font="Wingdings 2" w:char="00A3"/>
      </w:r>
      <w:r>
        <w:rPr>
          <w:rFonts w:hint="eastAsia" w:ascii="仿宋" w:hAnsi="仿宋" w:eastAsia="仿宋" w:cs="仿宋"/>
          <w:color w:val="auto"/>
          <w:sz w:val="28"/>
          <w:szCs w:val="28"/>
          <w:lang w:val="en-US" w:eastAsia="zh-CN"/>
        </w:rPr>
        <w:t xml:space="preserve">集体决策       </w:t>
      </w:r>
    </w:p>
    <w:p w14:paraId="27FD6FBA">
      <w:pPr>
        <w:spacing w:line="560" w:lineRule="exact"/>
        <w:jc w:val="both"/>
        <w:rPr>
          <w:rFonts w:hint="eastAsia" w:ascii="黑体" w:hAnsi="黑体" w:eastAsia="黑体" w:cs="Times New Roman"/>
          <w:color w:val="auto"/>
          <w:sz w:val="32"/>
          <w:szCs w:val="32"/>
          <w:lang w:val="en-US" w:eastAsia="zh-CN"/>
        </w:rPr>
      </w:pPr>
    </w:p>
    <w:p w14:paraId="4827829F">
      <w:pPr>
        <w:pStyle w:val="2"/>
        <w:rPr>
          <w:rFonts w:hint="eastAsia" w:ascii="黑体" w:hAnsi="黑体" w:eastAsia="黑体" w:cs="Times New Roman"/>
          <w:color w:val="auto"/>
          <w:sz w:val="32"/>
          <w:szCs w:val="32"/>
          <w:lang w:val="en-US" w:eastAsia="zh-CN"/>
        </w:rPr>
      </w:pPr>
    </w:p>
    <w:p w14:paraId="1C72830C">
      <w:pPr>
        <w:pStyle w:val="2"/>
        <w:rPr>
          <w:rFonts w:hint="eastAsia" w:ascii="黑体" w:hAnsi="黑体" w:eastAsia="黑体" w:cs="Times New Roman"/>
          <w:color w:val="auto"/>
          <w:sz w:val="32"/>
          <w:szCs w:val="32"/>
          <w:lang w:val="en-US" w:eastAsia="zh-CN"/>
        </w:rPr>
      </w:pPr>
    </w:p>
    <w:p w14:paraId="492C3743">
      <w:pPr>
        <w:spacing w:line="560" w:lineRule="exact"/>
        <w:jc w:val="both"/>
        <w:rPr>
          <w:rFonts w:hint="default" w:ascii="黑体" w:hAnsi="黑体" w:eastAsia="黑体" w:cs="Times New Roman"/>
          <w:color w:val="auto"/>
          <w:sz w:val="32"/>
          <w:szCs w:val="32"/>
          <w:lang w:val="en-US" w:eastAsia="zh-CN"/>
        </w:rPr>
      </w:pPr>
      <w:r>
        <w:rPr>
          <w:rFonts w:hint="eastAsia" w:ascii="黑体" w:hAnsi="黑体" w:eastAsia="黑体" w:cs="Times New Roman"/>
          <w:color w:val="auto"/>
          <w:sz w:val="32"/>
          <w:szCs w:val="32"/>
          <w:lang w:val="en-US" w:eastAsia="zh-CN"/>
        </w:rPr>
        <w:t xml:space="preserve">    七、审查意见</w:t>
      </w:r>
    </w:p>
    <w:tbl>
      <w:tblPr>
        <w:tblStyle w:val="4"/>
        <w:tblpPr w:leftFromText="180" w:rightFromText="180" w:vertAnchor="text" w:tblpXSpec="center" w:tblpY="1"/>
        <w:tblOverlap w:val="never"/>
        <w:tblW w:w="9182" w:type="dxa"/>
        <w:jc w:val="center"/>
        <w:tblLayout w:type="fixed"/>
        <w:tblCellMar>
          <w:top w:w="0" w:type="dxa"/>
          <w:left w:w="108" w:type="dxa"/>
          <w:bottom w:w="0" w:type="dxa"/>
          <w:right w:w="108" w:type="dxa"/>
        </w:tblCellMar>
      </w:tblPr>
      <w:tblGrid>
        <w:gridCol w:w="2157"/>
        <w:gridCol w:w="7025"/>
      </w:tblGrid>
      <w:tr w14:paraId="17D53147">
        <w:tblPrEx>
          <w:tblCellMar>
            <w:top w:w="0" w:type="dxa"/>
            <w:left w:w="108" w:type="dxa"/>
            <w:bottom w:w="0" w:type="dxa"/>
            <w:right w:w="108" w:type="dxa"/>
          </w:tblCellMar>
        </w:tblPrEx>
        <w:trPr>
          <w:trHeight w:val="2550" w:hRule="atLeast"/>
          <w:jc w:val="center"/>
        </w:trPr>
        <w:tc>
          <w:tcPr>
            <w:tcW w:w="2157" w:type="dxa"/>
            <w:tcBorders>
              <w:top w:val="single" w:color="auto" w:sz="4" w:space="0"/>
              <w:left w:val="single" w:color="auto" w:sz="4" w:space="0"/>
              <w:bottom w:val="single" w:color="auto" w:sz="4" w:space="0"/>
              <w:right w:val="single" w:color="auto" w:sz="4" w:space="0"/>
            </w:tcBorders>
            <w:noWrap/>
            <w:vAlign w:val="center"/>
          </w:tcPr>
          <w:p w14:paraId="1BBFBEC0">
            <w:pPr>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业务主管部门意见</w:t>
            </w:r>
          </w:p>
        </w:tc>
        <w:tc>
          <w:tcPr>
            <w:tcW w:w="7025" w:type="dxa"/>
            <w:tcBorders>
              <w:top w:val="single" w:color="auto" w:sz="4" w:space="0"/>
              <w:left w:val="single" w:color="auto" w:sz="4" w:space="0"/>
              <w:bottom w:val="single" w:color="auto" w:sz="4" w:space="0"/>
              <w:right w:val="single" w:color="auto" w:sz="4" w:space="0"/>
            </w:tcBorders>
            <w:noWrap w:val="0"/>
            <w:vAlign w:val="top"/>
          </w:tcPr>
          <w:p w14:paraId="07FCDA54">
            <w:pPr>
              <w:jc w:val="both"/>
              <w:rPr>
                <w:rFonts w:hint="eastAsia" w:ascii="仿宋" w:hAnsi="仿宋" w:eastAsia="仿宋" w:cs="仿宋"/>
                <w:color w:val="auto"/>
                <w:sz w:val="22"/>
                <w:szCs w:val="22"/>
                <w:lang w:val="en-US" w:eastAsia="zh-CN"/>
              </w:rPr>
            </w:pPr>
          </w:p>
          <w:p w14:paraId="4EB34F97">
            <w:pPr>
              <w:jc w:val="both"/>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 xml:space="preserve">合同标的的质量、数量（规模）、履行时间（期限）、地点和方式、包装方式、价款或者报酬、质量保修范围和保修期、违约责任与解决争议的方法是否明确                              </w:t>
            </w:r>
            <w:r>
              <w:rPr>
                <w:rFonts w:hint="eastAsia" w:ascii="仿宋" w:hAnsi="仿宋" w:eastAsia="仿宋" w:cs="仿宋"/>
                <w:color w:val="auto"/>
                <w:sz w:val="22"/>
                <w:szCs w:val="22"/>
                <w:lang w:eastAsia="zh-CN"/>
              </w:rPr>
              <w:t>□通过</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rPr>
              <w:t>□</w:t>
            </w:r>
            <w:r>
              <w:rPr>
                <w:rFonts w:hint="eastAsia" w:ascii="仿宋" w:hAnsi="仿宋" w:eastAsia="仿宋" w:cs="仿宋"/>
                <w:color w:val="auto"/>
                <w:sz w:val="22"/>
                <w:szCs w:val="22"/>
                <w:lang w:eastAsia="zh-CN"/>
              </w:rPr>
              <w:t>不通过</w:t>
            </w:r>
          </w:p>
          <w:p w14:paraId="0D27E865">
            <w:pPr>
              <w:jc w:val="both"/>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合同标的涉及知识产权的归属和处理方式是否明确</w:t>
            </w:r>
            <w:r>
              <w:rPr>
                <w:rFonts w:hint="eastAsia" w:ascii="仿宋" w:hAnsi="仿宋" w:eastAsia="仿宋" w:cs="仿宋"/>
                <w:color w:val="auto"/>
                <w:sz w:val="22"/>
                <w:szCs w:val="22"/>
                <w:lang w:eastAsia="zh-CN"/>
              </w:rPr>
              <w:t>□通过</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rPr>
              <w:t>□</w:t>
            </w:r>
            <w:r>
              <w:rPr>
                <w:rFonts w:hint="eastAsia" w:ascii="仿宋" w:hAnsi="仿宋" w:eastAsia="仿宋" w:cs="仿宋"/>
                <w:color w:val="auto"/>
                <w:sz w:val="22"/>
                <w:szCs w:val="22"/>
                <w:lang w:eastAsia="zh-CN"/>
              </w:rPr>
              <w:t>不通过</w:t>
            </w:r>
          </w:p>
          <w:p w14:paraId="430FEFBC">
            <w:pPr>
              <w:jc w:val="both"/>
              <w:rPr>
                <w:rFonts w:hint="eastAsia" w:ascii="仿宋" w:hAnsi="仿宋" w:eastAsia="仿宋" w:cs="仿宋"/>
                <w:color w:val="auto"/>
                <w:sz w:val="22"/>
                <w:szCs w:val="22"/>
              </w:rPr>
            </w:pPr>
          </w:p>
          <w:p w14:paraId="4CA3371D">
            <w:pPr>
              <w:ind w:firstLine="660" w:firstLineChars="300"/>
              <w:jc w:val="both"/>
              <w:rPr>
                <w:rFonts w:hint="eastAsia" w:ascii="仿宋" w:hAnsi="仿宋" w:eastAsia="仿宋" w:cs="仿宋"/>
                <w:color w:val="auto"/>
                <w:sz w:val="22"/>
                <w:szCs w:val="22"/>
              </w:rPr>
            </w:pPr>
          </w:p>
          <w:p w14:paraId="30C63010">
            <w:pPr>
              <w:ind w:firstLine="660" w:firstLineChars="300"/>
              <w:jc w:val="both"/>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 xml:space="preserve">负责人签字：            </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盖章</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 xml:space="preserve">      </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rPr>
              <w:t xml:space="preserve">  </w:t>
            </w:r>
            <w:r>
              <w:rPr>
                <w:rFonts w:hint="eastAsia" w:ascii="仿宋" w:hAnsi="仿宋" w:eastAsia="仿宋" w:cs="宋体"/>
                <w:color w:val="auto"/>
                <w:kern w:val="0"/>
                <w:sz w:val="22"/>
                <w:szCs w:val="22"/>
                <w:lang w:val="en-US" w:eastAsia="zh-CN"/>
              </w:rPr>
              <w:t>年   月   日</w:t>
            </w:r>
          </w:p>
        </w:tc>
      </w:tr>
      <w:tr w14:paraId="05175C12">
        <w:tblPrEx>
          <w:tblCellMar>
            <w:top w:w="0" w:type="dxa"/>
            <w:left w:w="108" w:type="dxa"/>
            <w:bottom w:w="0" w:type="dxa"/>
            <w:right w:w="108" w:type="dxa"/>
          </w:tblCellMar>
        </w:tblPrEx>
        <w:trPr>
          <w:trHeight w:val="1670" w:hRule="atLeast"/>
          <w:jc w:val="center"/>
        </w:trPr>
        <w:tc>
          <w:tcPr>
            <w:tcW w:w="2157" w:type="dxa"/>
            <w:tcBorders>
              <w:top w:val="single" w:color="auto" w:sz="4" w:space="0"/>
              <w:left w:val="single" w:color="auto" w:sz="4" w:space="0"/>
              <w:bottom w:val="single" w:color="auto" w:sz="4" w:space="0"/>
              <w:right w:val="single" w:color="auto" w:sz="4" w:space="0"/>
            </w:tcBorders>
            <w:noWrap/>
            <w:vAlign w:val="center"/>
          </w:tcPr>
          <w:p w14:paraId="702F365E">
            <w:pPr>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计划财务处意见</w:t>
            </w:r>
          </w:p>
        </w:tc>
        <w:tc>
          <w:tcPr>
            <w:tcW w:w="7025" w:type="dxa"/>
            <w:tcBorders>
              <w:top w:val="single" w:color="auto" w:sz="4" w:space="0"/>
              <w:left w:val="single" w:color="auto" w:sz="4" w:space="0"/>
              <w:bottom w:val="single" w:color="auto" w:sz="4" w:space="0"/>
              <w:right w:val="single" w:color="auto" w:sz="4" w:space="0"/>
            </w:tcBorders>
            <w:noWrap w:val="0"/>
            <w:vAlign w:val="top"/>
          </w:tcPr>
          <w:p w14:paraId="752CD5CD">
            <w:pPr>
              <w:jc w:val="both"/>
              <w:rPr>
                <w:rFonts w:hint="eastAsia" w:ascii="仿宋" w:hAnsi="仿宋" w:eastAsia="仿宋" w:cs="仿宋"/>
                <w:color w:val="auto"/>
                <w:sz w:val="22"/>
                <w:szCs w:val="22"/>
              </w:rPr>
            </w:pPr>
            <w:r>
              <w:rPr>
                <w:rFonts w:hint="eastAsia" w:ascii="仿宋" w:hAnsi="仿宋" w:eastAsia="仿宋" w:cs="仿宋"/>
                <w:color w:val="auto"/>
                <w:sz w:val="22"/>
                <w:szCs w:val="22"/>
                <w:lang w:eastAsia="zh-CN"/>
              </w:rPr>
              <w:t>合同付款进度安排、资金支付方式、支付条件是否符合财务管理制度规定</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lang w:eastAsia="zh-CN"/>
              </w:rPr>
              <w:t xml:space="preserve"> □通过</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rPr>
              <w:t>□</w:t>
            </w:r>
            <w:r>
              <w:rPr>
                <w:rFonts w:hint="eastAsia" w:ascii="仿宋" w:hAnsi="仿宋" w:eastAsia="仿宋" w:cs="仿宋"/>
                <w:color w:val="auto"/>
                <w:sz w:val="22"/>
                <w:szCs w:val="22"/>
                <w:lang w:eastAsia="zh-CN"/>
              </w:rPr>
              <w:t>不通过</w:t>
            </w:r>
          </w:p>
          <w:p w14:paraId="3A60257B">
            <w:pPr>
              <w:jc w:val="both"/>
              <w:rPr>
                <w:rFonts w:hint="eastAsia" w:ascii="仿宋" w:hAnsi="仿宋" w:eastAsia="仿宋" w:cs="仿宋"/>
                <w:color w:val="auto"/>
                <w:sz w:val="22"/>
                <w:szCs w:val="22"/>
                <w:lang w:eastAsia="zh-CN"/>
              </w:rPr>
            </w:pPr>
          </w:p>
          <w:p w14:paraId="163A96A5">
            <w:pPr>
              <w:jc w:val="both"/>
              <w:rPr>
                <w:rFonts w:hint="eastAsia" w:ascii="仿宋" w:hAnsi="仿宋" w:eastAsia="仿宋" w:cs="仿宋"/>
                <w:color w:val="auto"/>
                <w:sz w:val="22"/>
                <w:szCs w:val="22"/>
              </w:rPr>
            </w:pPr>
          </w:p>
          <w:p w14:paraId="7DE28FE9">
            <w:pPr>
              <w:ind w:firstLine="660" w:firstLineChars="300"/>
              <w:jc w:val="both"/>
              <w:rPr>
                <w:rFonts w:hint="eastAsia" w:ascii="仿宋" w:hAnsi="仿宋" w:eastAsia="仿宋" w:cs="仿宋"/>
                <w:color w:val="auto"/>
                <w:sz w:val="22"/>
                <w:szCs w:val="22"/>
              </w:rPr>
            </w:pPr>
            <w:r>
              <w:rPr>
                <w:rFonts w:hint="eastAsia" w:ascii="仿宋" w:hAnsi="仿宋" w:eastAsia="仿宋" w:cs="仿宋"/>
                <w:color w:val="auto"/>
                <w:sz w:val="22"/>
                <w:szCs w:val="22"/>
              </w:rPr>
              <w:t xml:space="preserve">负责人签字：           </w:t>
            </w:r>
            <w:r>
              <w:rPr>
                <w:rFonts w:hint="eastAsia" w:ascii="仿宋" w:hAnsi="仿宋" w:eastAsia="仿宋" w:cs="仿宋"/>
                <w:color w:val="auto"/>
                <w:sz w:val="22"/>
                <w:szCs w:val="22"/>
                <w:lang w:val="en-US" w:eastAsia="zh-CN"/>
              </w:rPr>
              <w:t xml:space="preserve"> （盖章）</w:t>
            </w:r>
            <w:r>
              <w:rPr>
                <w:rFonts w:hint="eastAsia" w:ascii="仿宋" w:hAnsi="仿宋" w:eastAsia="仿宋" w:cs="仿宋"/>
                <w:color w:val="auto"/>
                <w:sz w:val="22"/>
                <w:szCs w:val="22"/>
              </w:rPr>
              <w:t xml:space="preserve">     </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rPr>
              <w:t xml:space="preserve">  </w:t>
            </w:r>
            <w:r>
              <w:rPr>
                <w:rFonts w:hint="eastAsia" w:ascii="仿宋" w:hAnsi="仿宋" w:eastAsia="仿宋" w:cs="宋体"/>
                <w:color w:val="auto"/>
                <w:kern w:val="0"/>
                <w:sz w:val="22"/>
                <w:szCs w:val="22"/>
                <w:lang w:val="en-US" w:eastAsia="zh-CN"/>
              </w:rPr>
              <w:t>年   月   日</w:t>
            </w:r>
          </w:p>
        </w:tc>
      </w:tr>
      <w:tr w14:paraId="4BEC3178">
        <w:tblPrEx>
          <w:tblCellMar>
            <w:top w:w="0" w:type="dxa"/>
            <w:left w:w="108" w:type="dxa"/>
            <w:bottom w:w="0" w:type="dxa"/>
            <w:right w:w="108" w:type="dxa"/>
          </w:tblCellMar>
        </w:tblPrEx>
        <w:trPr>
          <w:trHeight w:val="4026" w:hRule="atLeast"/>
          <w:jc w:val="center"/>
        </w:trPr>
        <w:tc>
          <w:tcPr>
            <w:tcW w:w="2157" w:type="dxa"/>
            <w:tcBorders>
              <w:top w:val="nil"/>
              <w:left w:val="single" w:color="auto" w:sz="4" w:space="0"/>
              <w:bottom w:val="single" w:color="auto" w:sz="4" w:space="0"/>
              <w:right w:val="single" w:color="auto" w:sz="4" w:space="0"/>
            </w:tcBorders>
            <w:noWrap/>
            <w:vAlign w:val="center"/>
          </w:tcPr>
          <w:p w14:paraId="199FCA2E">
            <w:pPr>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国资处意见</w:t>
            </w:r>
          </w:p>
        </w:tc>
        <w:tc>
          <w:tcPr>
            <w:tcW w:w="7025" w:type="dxa"/>
            <w:tcBorders>
              <w:top w:val="nil"/>
              <w:left w:val="single" w:color="auto" w:sz="4" w:space="0"/>
              <w:bottom w:val="single" w:color="auto" w:sz="4" w:space="0"/>
              <w:right w:val="single" w:color="auto" w:sz="4" w:space="0"/>
            </w:tcBorders>
            <w:noWrap w:val="0"/>
            <w:vAlign w:val="top"/>
          </w:tcPr>
          <w:p w14:paraId="3D428FB2">
            <w:pPr>
              <w:ind w:left="4840" w:leftChars="0" w:hanging="4840" w:hangingChars="2200"/>
              <w:jc w:val="both"/>
              <w:rPr>
                <w:rFonts w:hint="eastAsia" w:ascii="仿宋" w:hAnsi="仿宋" w:eastAsia="仿宋" w:cs="仿宋"/>
                <w:color w:val="auto"/>
                <w:sz w:val="22"/>
                <w:szCs w:val="22"/>
                <w:lang w:val="en-US" w:eastAsia="zh-CN"/>
              </w:rPr>
            </w:pPr>
          </w:p>
          <w:p w14:paraId="73121FC9">
            <w:pPr>
              <w:ind w:left="4840" w:leftChars="0" w:hanging="4840" w:hangingChars="2200"/>
              <w:jc w:val="both"/>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 xml:space="preserve">合同类型是否说明适用理由                    </w:t>
            </w:r>
            <w:r>
              <w:rPr>
                <w:rFonts w:hint="eastAsia" w:ascii="仿宋" w:hAnsi="仿宋" w:eastAsia="仿宋" w:cs="仿宋"/>
                <w:color w:val="auto"/>
                <w:sz w:val="22"/>
                <w:szCs w:val="22"/>
                <w:lang w:eastAsia="zh-CN"/>
              </w:rPr>
              <w:t>□通过</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rPr>
              <w:t>□</w:t>
            </w:r>
            <w:r>
              <w:rPr>
                <w:rFonts w:hint="eastAsia" w:ascii="仿宋" w:hAnsi="仿宋" w:eastAsia="仿宋" w:cs="仿宋"/>
                <w:color w:val="auto"/>
                <w:sz w:val="22"/>
                <w:szCs w:val="22"/>
                <w:lang w:eastAsia="zh-CN"/>
              </w:rPr>
              <w:t>不通过</w:t>
            </w:r>
          </w:p>
          <w:p w14:paraId="44DAF436">
            <w:pPr>
              <w:ind w:left="4840" w:leftChars="0" w:hanging="4840" w:hangingChars="2200"/>
              <w:jc w:val="both"/>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 xml:space="preserve">合同定价方式是否说明适用理由                </w:t>
            </w:r>
            <w:r>
              <w:rPr>
                <w:rFonts w:hint="eastAsia" w:ascii="仿宋" w:hAnsi="仿宋" w:eastAsia="仿宋" w:cs="仿宋"/>
                <w:color w:val="auto"/>
                <w:sz w:val="22"/>
                <w:szCs w:val="22"/>
                <w:lang w:eastAsia="zh-CN"/>
              </w:rPr>
              <w:t>□通过</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rPr>
              <w:t>□</w:t>
            </w:r>
            <w:r>
              <w:rPr>
                <w:rFonts w:hint="eastAsia" w:ascii="仿宋" w:hAnsi="仿宋" w:eastAsia="仿宋" w:cs="仿宋"/>
                <w:color w:val="auto"/>
                <w:sz w:val="22"/>
                <w:szCs w:val="22"/>
                <w:lang w:eastAsia="zh-CN"/>
              </w:rPr>
              <w:t>不通过</w:t>
            </w:r>
          </w:p>
          <w:p w14:paraId="79158DD1">
            <w:pPr>
              <w:ind w:left="4840" w:leftChars="0" w:hanging="4840" w:hangingChars="2200"/>
              <w:jc w:val="both"/>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合同履行过程中是否提出有针对性的风险处置措施和替代方案</w:t>
            </w:r>
            <w:r>
              <w:rPr>
                <w:rFonts w:hint="default" w:ascii="仿宋" w:hAnsi="仿宋" w:eastAsia="仿宋" w:cs="仿宋"/>
                <w:color w:val="auto"/>
                <w:sz w:val="22"/>
                <w:szCs w:val="22"/>
                <w:lang w:eastAsia="zh-CN"/>
                <w:woUserID w:val="1"/>
              </w:rPr>
              <w:t xml:space="preserve"> </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lang w:val="en-US" w:eastAsia="zh-CN"/>
              </w:rPr>
              <w:sym w:font="Wingdings 2" w:char="00A3"/>
            </w:r>
            <w:r>
              <w:rPr>
                <w:rFonts w:hint="eastAsia" w:ascii="仿宋" w:hAnsi="仿宋" w:eastAsia="仿宋" w:cs="仿宋"/>
                <w:color w:val="auto"/>
                <w:sz w:val="22"/>
                <w:szCs w:val="22"/>
                <w:lang w:eastAsia="zh-CN"/>
              </w:rPr>
              <w:t>通过</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rPr>
              <w:t>□</w:t>
            </w:r>
            <w:r>
              <w:rPr>
                <w:rFonts w:hint="eastAsia" w:ascii="仿宋" w:hAnsi="仿宋" w:eastAsia="仿宋" w:cs="仿宋"/>
                <w:color w:val="auto"/>
                <w:sz w:val="22"/>
                <w:szCs w:val="22"/>
                <w:lang w:eastAsia="zh-CN"/>
              </w:rPr>
              <w:t>不通过</w:t>
            </w:r>
          </w:p>
          <w:p w14:paraId="5CE33F9D">
            <w:pPr>
              <w:jc w:val="both"/>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 xml:space="preserve">履约验收方案是否在合同中约定                </w:t>
            </w:r>
            <w:r>
              <w:rPr>
                <w:rFonts w:hint="eastAsia" w:ascii="仿宋" w:hAnsi="仿宋" w:eastAsia="仿宋" w:cs="仿宋"/>
                <w:color w:val="auto"/>
                <w:sz w:val="22"/>
                <w:szCs w:val="22"/>
                <w:lang w:val="en-US" w:eastAsia="zh-CN"/>
              </w:rPr>
              <w:sym w:font="Wingdings 2" w:char="00A3"/>
            </w:r>
            <w:r>
              <w:rPr>
                <w:rFonts w:hint="eastAsia" w:ascii="仿宋" w:hAnsi="仿宋" w:eastAsia="仿宋" w:cs="仿宋"/>
                <w:color w:val="auto"/>
                <w:sz w:val="22"/>
                <w:szCs w:val="22"/>
                <w:lang w:eastAsia="zh-CN"/>
              </w:rPr>
              <w:t>通过</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rPr>
              <w:t>□</w:t>
            </w:r>
            <w:r>
              <w:rPr>
                <w:rFonts w:hint="eastAsia" w:ascii="仿宋" w:hAnsi="仿宋" w:eastAsia="仿宋" w:cs="仿宋"/>
                <w:color w:val="auto"/>
                <w:sz w:val="22"/>
                <w:szCs w:val="22"/>
                <w:lang w:eastAsia="zh-CN"/>
              </w:rPr>
              <w:t>不通过</w:t>
            </w:r>
          </w:p>
          <w:p w14:paraId="6EF0AC8B">
            <w:pPr>
              <w:ind w:left="4840" w:hanging="4840" w:hangingChars="2200"/>
              <w:jc w:val="both"/>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 xml:space="preserve">属于按规定需要报相关监管部门批准、核准的事项，是否作出相关安排  </w:t>
            </w:r>
            <w:r>
              <w:rPr>
                <w:rFonts w:hint="eastAsia" w:ascii="仿宋" w:hAnsi="仿宋" w:eastAsia="仿宋" w:cs="仿宋"/>
                <w:color w:val="auto"/>
                <w:sz w:val="22"/>
                <w:szCs w:val="22"/>
                <w:lang w:eastAsia="zh-CN"/>
              </w:rPr>
              <w:t>□通过</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rPr>
              <w:t>□</w:t>
            </w:r>
            <w:r>
              <w:rPr>
                <w:rFonts w:hint="eastAsia" w:ascii="仿宋" w:hAnsi="仿宋" w:eastAsia="仿宋" w:cs="仿宋"/>
                <w:color w:val="auto"/>
                <w:sz w:val="22"/>
                <w:szCs w:val="22"/>
                <w:lang w:eastAsia="zh-CN"/>
              </w:rPr>
              <w:t>不通过</w:t>
            </w:r>
          </w:p>
          <w:p w14:paraId="1583BF16">
            <w:pPr>
              <w:jc w:val="both"/>
              <w:rPr>
                <w:rFonts w:hint="eastAsia" w:ascii="仿宋" w:hAnsi="仿宋" w:eastAsia="仿宋" w:cs="仿宋"/>
                <w:color w:val="auto"/>
                <w:sz w:val="22"/>
                <w:szCs w:val="22"/>
                <w:lang w:eastAsia="zh-CN"/>
              </w:rPr>
            </w:pPr>
            <w:r>
              <w:rPr>
                <w:rFonts w:hint="eastAsia" w:ascii="仿宋" w:hAnsi="仿宋" w:eastAsia="仿宋" w:cs="仿宋"/>
                <w:color w:val="auto"/>
                <w:sz w:val="22"/>
                <w:szCs w:val="22"/>
                <w:highlight w:val="none"/>
              </w:rPr>
              <w:t>采购组织形式</w:t>
            </w:r>
            <w:r>
              <w:rPr>
                <w:rFonts w:hint="eastAsia" w:ascii="仿宋" w:hAnsi="仿宋" w:eastAsia="仿宋" w:cs="仿宋"/>
                <w:color w:val="auto"/>
                <w:sz w:val="22"/>
                <w:szCs w:val="22"/>
                <w:highlight w:val="none"/>
                <w:lang w:eastAsia="zh-CN"/>
              </w:rPr>
              <w:t>是否恰当</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lang w:eastAsia="zh-CN"/>
              </w:rPr>
              <w:t>□通过</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rPr>
              <w:t>□</w:t>
            </w:r>
            <w:r>
              <w:rPr>
                <w:rFonts w:hint="eastAsia" w:ascii="仿宋" w:hAnsi="仿宋" w:eastAsia="仿宋" w:cs="仿宋"/>
                <w:color w:val="auto"/>
                <w:sz w:val="22"/>
                <w:szCs w:val="22"/>
                <w:lang w:eastAsia="zh-CN"/>
              </w:rPr>
              <w:t>不通过</w:t>
            </w:r>
          </w:p>
          <w:p w14:paraId="43463F66">
            <w:pPr>
              <w:jc w:val="both"/>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 xml:space="preserve">委托代理安排是否符合规定                    </w:t>
            </w:r>
            <w:r>
              <w:rPr>
                <w:rFonts w:hint="eastAsia" w:ascii="仿宋" w:hAnsi="仿宋" w:eastAsia="仿宋" w:cs="仿宋"/>
                <w:color w:val="auto"/>
                <w:sz w:val="22"/>
                <w:szCs w:val="22"/>
                <w:lang w:eastAsia="zh-CN"/>
              </w:rPr>
              <w:t>□通过</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rPr>
              <w:t>□</w:t>
            </w:r>
            <w:r>
              <w:rPr>
                <w:rFonts w:hint="eastAsia" w:ascii="仿宋" w:hAnsi="仿宋" w:eastAsia="仿宋" w:cs="仿宋"/>
                <w:color w:val="auto"/>
                <w:sz w:val="22"/>
                <w:szCs w:val="22"/>
                <w:lang w:eastAsia="zh-CN"/>
              </w:rPr>
              <w:t>不通过</w:t>
            </w:r>
          </w:p>
          <w:p w14:paraId="6C4B1E57">
            <w:pPr>
              <w:jc w:val="both"/>
              <w:rPr>
                <w:rFonts w:hint="eastAsia" w:ascii="仿宋" w:hAnsi="仿宋" w:eastAsia="仿宋" w:cs="仿宋"/>
                <w:color w:val="auto"/>
                <w:sz w:val="22"/>
                <w:szCs w:val="22"/>
                <w:lang w:val="en-US" w:eastAsia="zh-CN"/>
              </w:rPr>
            </w:pPr>
          </w:p>
          <w:p w14:paraId="7F3A746A">
            <w:pPr>
              <w:jc w:val="both"/>
              <w:rPr>
                <w:rFonts w:hint="eastAsia" w:ascii="仿宋" w:hAnsi="仿宋" w:eastAsia="仿宋" w:cs="仿宋"/>
                <w:color w:val="auto"/>
                <w:sz w:val="22"/>
                <w:szCs w:val="22"/>
              </w:rPr>
            </w:pPr>
          </w:p>
          <w:p w14:paraId="6D6A311D">
            <w:pPr>
              <w:ind w:firstLine="660" w:firstLineChars="300"/>
              <w:jc w:val="both"/>
              <w:rPr>
                <w:rFonts w:ascii="仿宋" w:hAnsi="仿宋" w:eastAsia="仿宋" w:cs="宋体"/>
                <w:b w:val="0"/>
                <w:bCs w:val="0"/>
                <w:color w:val="auto"/>
                <w:kern w:val="0"/>
                <w:sz w:val="22"/>
                <w:szCs w:val="22"/>
              </w:rPr>
            </w:pPr>
            <w:r>
              <w:rPr>
                <w:rFonts w:hint="eastAsia" w:ascii="仿宋" w:hAnsi="仿宋" w:eastAsia="仿宋" w:cs="仿宋"/>
                <w:color w:val="auto"/>
                <w:sz w:val="22"/>
                <w:szCs w:val="22"/>
              </w:rPr>
              <w:t xml:space="preserve">负责人签字：            </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盖章</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 xml:space="preserve">     </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rPr>
              <w:t xml:space="preserve">  </w:t>
            </w:r>
            <w:r>
              <w:rPr>
                <w:rFonts w:hint="eastAsia" w:ascii="仿宋" w:hAnsi="仿宋" w:eastAsia="仿宋" w:cs="宋体"/>
                <w:color w:val="auto"/>
                <w:kern w:val="0"/>
                <w:sz w:val="22"/>
                <w:szCs w:val="22"/>
                <w:lang w:val="en-US" w:eastAsia="zh-CN"/>
              </w:rPr>
              <w:t>年   月   日</w:t>
            </w:r>
          </w:p>
        </w:tc>
      </w:tr>
      <w:tr w14:paraId="2104AECC">
        <w:tblPrEx>
          <w:tblCellMar>
            <w:top w:w="0" w:type="dxa"/>
            <w:left w:w="108" w:type="dxa"/>
            <w:bottom w:w="0" w:type="dxa"/>
            <w:right w:w="108" w:type="dxa"/>
          </w:tblCellMar>
        </w:tblPrEx>
        <w:trPr>
          <w:trHeight w:val="1522" w:hRule="exact"/>
          <w:jc w:val="center"/>
        </w:trPr>
        <w:tc>
          <w:tcPr>
            <w:tcW w:w="21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D9728D">
            <w:pPr>
              <w:jc w:val="center"/>
              <w:rPr>
                <w:rFonts w:hint="eastAsia" w:ascii="仿宋" w:hAnsi="仿宋" w:eastAsia="仿宋" w:cs="仿宋"/>
                <w:color w:val="auto"/>
                <w:sz w:val="22"/>
                <w:szCs w:val="22"/>
                <w:lang w:val="en-US" w:eastAsia="zh-CN"/>
                <w:woUserID w:val="1"/>
              </w:rPr>
            </w:pPr>
            <w:r>
              <w:rPr>
                <w:rFonts w:hint="eastAsia" w:ascii="仿宋" w:hAnsi="仿宋" w:eastAsia="仿宋" w:cs="仿宋"/>
                <w:color w:val="auto"/>
                <w:sz w:val="22"/>
                <w:szCs w:val="22"/>
                <w:lang w:val="en-US" w:eastAsia="zh-CN"/>
                <w:woUserID w:val="1"/>
              </w:rPr>
              <w:t>法务室意见</w:t>
            </w:r>
          </w:p>
          <w:p w14:paraId="71DEAAB1">
            <w:pPr>
              <w:jc w:val="center"/>
              <w:rPr>
                <w:rFonts w:hint="eastAsia" w:ascii="仿宋" w:hAnsi="仿宋" w:eastAsia="仿宋" w:cs="仿宋"/>
                <w:color w:val="auto"/>
                <w:kern w:val="2"/>
                <w:sz w:val="22"/>
                <w:szCs w:val="22"/>
                <w:lang w:val="en-US" w:eastAsia="zh-CN" w:bidi="ar-SA"/>
                <w:woUserID w:val="1"/>
              </w:rPr>
            </w:pPr>
            <w:r>
              <w:rPr>
                <w:rFonts w:hint="eastAsia" w:ascii="仿宋" w:hAnsi="仿宋" w:eastAsia="仿宋" w:cs="仿宋"/>
                <w:color w:val="auto"/>
                <w:sz w:val="22"/>
                <w:szCs w:val="22"/>
                <w:lang w:val="en-US" w:eastAsia="zh-CN"/>
                <w:woUserID w:val="1"/>
              </w:rPr>
              <w:t>（仅对合同部分）</w:t>
            </w:r>
          </w:p>
        </w:tc>
        <w:tc>
          <w:tcPr>
            <w:tcW w:w="70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F12256">
            <w:pPr>
              <w:rPr>
                <w:rFonts w:hint="eastAsia" w:ascii="仿宋" w:hAnsi="仿宋" w:eastAsia="仿宋" w:cs="仿宋"/>
                <w:color w:val="auto"/>
                <w:sz w:val="22"/>
                <w:szCs w:val="22"/>
                <w:woUserID w:val="1"/>
              </w:rPr>
            </w:pPr>
          </w:p>
          <w:p w14:paraId="404FD77E">
            <w:pPr>
              <w:rPr>
                <w:rFonts w:hint="eastAsia" w:ascii="仿宋" w:hAnsi="仿宋" w:eastAsia="仿宋" w:cs="仿宋"/>
                <w:color w:val="auto"/>
                <w:sz w:val="22"/>
                <w:szCs w:val="22"/>
                <w:woUserID w:val="1"/>
              </w:rPr>
            </w:pPr>
          </w:p>
          <w:p w14:paraId="2B3B7086">
            <w:pPr>
              <w:rPr>
                <w:rFonts w:hint="eastAsia" w:ascii="仿宋" w:hAnsi="仿宋" w:eastAsia="仿宋" w:cs="仿宋"/>
                <w:color w:val="auto"/>
                <w:sz w:val="22"/>
                <w:szCs w:val="22"/>
                <w:woUserID w:val="1"/>
              </w:rPr>
            </w:pPr>
          </w:p>
          <w:p w14:paraId="2F0072C8">
            <w:pPr>
              <w:ind w:firstLine="1320" w:firstLineChars="600"/>
              <w:rPr>
                <w:rFonts w:hint="eastAsia" w:ascii="仿宋" w:hAnsi="仿宋" w:eastAsia="仿宋" w:cs="仿宋"/>
                <w:color w:val="auto"/>
                <w:kern w:val="2"/>
                <w:sz w:val="22"/>
                <w:szCs w:val="22"/>
                <w:lang w:val="en-US" w:eastAsia="zh-CN" w:bidi="ar-SA"/>
                <w:woUserID w:val="1"/>
              </w:rPr>
            </w:pPr>
            <w:r>
              <w:rPr>
                <w:rFonts w:hint="eastAsia" w:ascii="仿宋" w:hAnsi="仿宋" w:eastAsia="仿宋" w:cs="仿宋"/>
                <w:color w:val="auto"/>
                <w:sz w:val="22"/>
                <w:szCs w:val="22"/>
                <w:woUserID w:val="1"/>
              </w:rPr>
              <w:t xml:space="preserve">签字：            </w:t>
            </w:r>
            <w:r>
              <w:rPr>
                <w:rFonts w:hint="eastAsia" w:ascii="仿宋" w:hAnsi="仿宋" w:eastAsia="仿宋" w:cs="仿宋"/>
                <w:color w:val="auto"/>
                <w:sz w:val="22"/>
                <w:szCs w:val="22"/>
                <w:lang w:eastAsia="zh-CN"/>
                <w:woUserID w:val="1"/>
              </w:rPr>
              <w:t>（</w:t>
            </w:r>
            <w:r>
              <w:rPr>
                <w:rFonts w:hint="eastAsia" w:ascii="仿宋" w:hAnsi="仿宋" w:eastAsia="仿宋" w:cs="仿宋"/>
                <w:color w:val="auto"/>
                <w:sz w:val="22"/>
                <w:szCs w:val="22"/>
                <w:lang w:val="en-US" w:eastAsia="zh-CN"/>
                <w:woUserID w:val="1"/>
              </w:rPr>
              <w:t>盖章</w:t>
            </w:r>
            <w:r>
              <w:rPr>
                <w:rFonts w:hint="eastAsia" w:ascii="仿宋" w:hAnsi="仿宋" w:eastAsia="仿宋" w:cs="仿宋"/>
                <w:color w:val="auto"/>
                <w:sz w:val="22"/>
                <w:szCs w:val="22"/>
                <w:lang w:eastAsia="zh-CN"/>
                <w:woUserID w:val="1"/>
              </w:rPr>
              <w:t>）</w:t>
            </w:r>
            <w:r>
              <w:rPr>
                <w:rFonts w:hint="eastAsia" w:ascii="仿宋" w:hAnsi="仿宋" w:eastAsia="仿宋" w:cs="仿宋"/>
                <w:color w:val="auto"/>
                <w:sz w:val="22"/>
                <w:szCs w:val="22"/>
                <w:woUserID w:val="1"/>
              </w:rPr>
              <w:t xml:space="preserve">     </w:t>
            </w:r>
            <w:r>
              <w:rPr>
                <w:rFonts w:hint="eastAsia" w:ascii="仿宋" w:hAnsi="仿宋" w:eastAsia="仿宋" w:cs="仿宋"/>
                <w:color w:val="auto"/>
                <w:sz w:val="22"/>
                <w:szCs w:val="22"/>
                <w:lang w:val="en-US" w:eastAsia="zh-CN"/>
                <w:woUserID w:val="1"/>
              </w:rPr>
              <w:t xml:space="preserve">       </w:t>
            </w:r>
            <w:r>
              <w:rPr>
                <w:rFonts w:hint="eastAsia" w:ascii="仿宋" w:hAnsi="仿宋" w:eastAsia="仿宋" w:cs="仿宋"/>
                <w:color w:val="auto"/>
                <w:sz w:val="22"/>
                <w:szCs w:val="22"/>
                <w:woUserID w:val="1"/>
              </w:rPr>
              <w:t xml:space="preserve">  </w:t>
            </w:r>
            <w:r>
              <w:rPr>
                <w:rFonts w:hint="eastAsia" w:ascii="仿宋" w:hAnsi="仿宋" w:eastAsia="仿宋" w:cs="宋体"/>
                <w:color w:val="auto"/>
                <w:kern w:val="0"/>
                <w:sz w:val="22"/>
                <w:szCs w:val="22"/>
                <w:lang w:val="en-US" w:eastAsia="zh-CN"/>
                <w:woUserID w:val="1"/>
              </w:rPr>
              <w:t>年   月   日</w:t>
            </w:r>
          </w:p>
        </w:tc>
      </w:tr>
      <w:tr w14:paraId="7404330D">
        <w:tblPrEx>
          <w:tblCellMar>
            <w:top w:w="0" w:type="dxa"/>
            <w:left w:w="108" w:type="dxa"/>
            <w:bottom w:w="0" w:type="dxa"/>
            <w:right w:w="108" w:type="dxa"/>
          </w:tblCellMar>
        </w:tblPrEx>
        <w:trPr>
          <w:trHeight w:val="2820" w:hRule="atLeast"/>
          <w:jc w:val="center"/>
        </w:trPr>
        <w:tc>
          <w:tcPr>
            <w:tcW w:w="2157" w:type="dxa"/>
            <w:tcBorders>
              <w:top w:val="single" w:color="auto" w:sz="4" w:space="0"/>
              <w:left w:val="single" w:color="auto" w:sz="4" w:space="0"/>
              <w:bottom w:val="single" w:color="auto" w:sz="4" w:space="0"/>
              <w:right w:val="single" w:color="auto" w:sz="4" w:space="0"/>
            </w:tcBorders>
            <w:noWrap/>
            <w:vAlign w:val="center"/>
          </w:tcPr>
          <w:p w14:paraId="1EBE51AB">
            <w:pPr>
              <w:jc w:val="center"/>
              <w:rPr>
                <w:rFonts w:hint="eastAsia" w:ascii="仿宋" w:hAnsi="仿宋" w:eastAsia="仿宋" w:cs="仿宋"/>
                <w:color w:val="auto"/>
                <w:sz w:val="22"/>
                <w:szCs w:val="22"/>
                <w:lang w:val="en-US" w:eastAsia="zh-CN"/>
                <w:woUserID w:val="1"/>
              </w:rPr>
            </w:pPr>
            <w:r>
              <w:rPr>
                <w:rFonts w:hint="eastAsia" w:ascii="仿宋" w:hAnsi="仿宋" w:eastAsia="仿宋" w:cs="仿宋"/>
                <w:color w:val="auto"/>
                <w:sz w:val="22"/>
                <w:szCs w:val="22"/>
                <w:lang w:val="en-US" w:eastAsia="zh-CN"/>
                <w:woUserID w:val="1"/>
              </w:rPr>
              <w:t>采购文件评审</w:t>
            </w:r>
          </w:p>
          <w:p w14:paraId="6501A8BE">
            <w:pPr>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woUserID w:val="1"/>
              </w:rPr>
              <w:t>（国资审查意见）</w:t>
            </w:r>
          </w:p>
        </w:tc>
        <w:tc>
          <w:tcPr>
            <w:tcW w:w="7025" w:type="dxa"/>
            <w:tcBorders>
              <w:top w:val="single" w:color="auto" w:sz="4" w:space="0"/>
              <w:left w:val="single" w:color="auto" w:sz="4" w:space="0"/>
              <w:bottom w:val="single" w:color="auto" w:sz="4" w:space="0"/>
              <w:right w:val="single" w:color="auto" w:sz="4" w:space="0"/>
            </w:tcBorders>
            <w:noWrap w:val="0"/>
            <w:vAlign w:val="center"/>
          </w:tcPr>
          <w:p w14:paraId="3C81713E">
            <w:pPr>
              <w:ind w:left="0" w:leftChars="0" w:firstLine="0" w:firstLineChars="0"/>
              <w:jc w:val="both"/>
              <w:rPr>
                <w:rFonts w:hint="eastAsia" w:ascii="仿宋" w:hAnsi="仿宋" w:eastAsia="仿宋" w:cs="仿宋"/>
                <w:i w:val="0"/>
                <w:iCs w:val="0"/>
                <w:color w:val="auto"/>
                <w:sz w:val="22"/>
                <w:szCs w:val="22"/>
                <w:lang w:eastAsia="zh-CN"/>
              </w:rPr>
            </w:pPr>
            <w:r>
              <w:rPr>
                <w:rFonts w:hint="eastAsia" w:ascii="仿宋" w:hAnsi="仿宋" w:eastAsia="仿宋" w:cs="仿宋"/>
                <w:i w:val="0"/>
                <w:iCs w:val="0"/>
                <w:color w:val="auto"/>
                <w:sz w:val="22"/>
                <w:szCs w:val="22"/>
                <w:lang w:eastAsia="zh-CN"/>
              </w:rPr>
              <w:t>评审规则是否说明适用理由</w:t>
            </w:r>
            <w:r>
              <w:rPr>
                <w:rFonts w:hint="eastAsia" w:ascii="仿宋" w:hAnsi="仿宋" w:eastAsia="仿宋" w:cs="仿宋"/>
                <w:i w:val="0"/>
                <w:iCs w:val="0"/>
                <w:color w:val="auto"/>
                <w:sz w:val="22"/>
                <w:szCs w:val="22"/>
                <w:lang w:val="en-US" w:eastAsia="zh-CN"/>
              </w:rPr>
              <w:t xml:space="preserve">    </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lang w:eastAsia="zh-CN"/>
              </w:rPr>
              <w:t>□通过</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rPr>
              <w:t>□</w:t>
            </w:r>
            <w:r>
              <w:rPr>
                <w:rFonts w:hint="eastAsia" w:ascii="仿宋" w:hAnsi="仿宋" w:eastAsia="仿宋" w:cs="仿宋"/>
                <w:color w:val="auto"/>
                <w:sz w:val="22"/>
                <w:szCs w:val="22"/>
                <w:lang w:eastAsia="zh-CN"/>
              </w:rPr>
              <w:t>不通过</w:t>
            </w:r>
          </w:p>
          <w:p w14:paraId="43DF9050">
            <w:pPr>
              <w:ind w:left="0" w:leftChars="0" w:firstLine="0" w:firstLineChars="0"/>
              <w:jc w:val="both"/>
              <w:rPr>
                <w:rFonts w:hint="eastAsia" w:ascii="仿宋" w:hAnsi="仿宋" w:eastAsia="仿宋" w:cs="仿宋"/>
                <w:color w:val="auto"/>
                <w:sz w:val="22"/>
                <w:szCs w:val="22"/>
              </w:rPr>
            </w:pPr>
            <w:r>
              <w:rPr>
                <w:rFonts w:hint="eastAsia" w:ascii="仿宋" w:hAnsi="仿宋" w:eastAsia="仿宋" w:cs="仿宋"/>
                <w:i w:val="0"/>
                <w:iCs w:val="0"/>
                <w:color w:val="auto"/>
                <w:sz w:val="22"/>
                <w:szCs w:val="22"/>
                <w:lang w:eastAsia="zh-CN"/>
              </w:rPr>
              <w:t>采用综合性评审方法的评审因素设置是否与供应商所提供货物服务的质量相关，评标分值设定是否合理</w:t>
            </w:r>
            <w:r>
              <w:rPr>
                <w:rFonts w:hint="eastAsia" w:ascii="仿宋" w:hAnsi="仿宋" w:eastAsia="仿宋" w:cs="仿宋"/>
                <w:i w:val="0"/>
                <w:iCs w:val="0"/>
                <w:color w:val="auto"/>
                <w:sz w:val="22"/>
                <w:szCs w:val="22"/>
                <w:lang w:val="en-US" w:eastAsia="zh-CN"/>
              </w:rPr>
              <w:t xml:space="preserve">    </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lang w:eastAsia="zh-CN"/>
              </w:rPr>
              <w:t>□通过</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rPr>
              <w:t>□</w:t>
            </w:r>
            <w:r>
              <w:rPr>
                <w:rFonts w:hint="eastAsia" w:ascii="仿宋" w:hAnsi="仿宋" w:eastAsia="仿宋" w:cs="仿宋"/>
                <w:color w:val="auto"/>
                <w:sz w:val="22"/>
                <w:szCs w:val="22"/>
                <w:lang w:eastAsia="zh-CN"/>
              </w:rPr>
              <w:t>不通过</w:t>
            </w:r>
          </w:p>
          <w:p w14:paraId="0ECF8A9F">
            <w:pPr>
              <w:ind w:left="0" w:leftChars="0" w:firstLine="0" w:firstLineChars="0"/>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 xml:space="preserve">招标文件是否符合法律、法规和政策的规定      </w:t>
            </w:r>
            <w:r>
              <w:rPr>
                <w:rFonts w:hint="eastAsia" w:ascii="仿宋" w:hAnsi="仿宋" w:eastAsia="仿宋" w:cs="仿宋"/>
                <w:color w:val="auto"/>
                <w:sz w:val="22"/>
                <w:szCs w:val="22"/>
                <w:lang w:eastAsia="zh-CN"/>
              </w:rPr>
              <w:t>□通过</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rPr>
              <w:t>□</w:t>
            </w:r>
            <w:r>
              <w:rPr>
                <w:rFonts w:hint="eastAsia" w:ascii="仿宋" w:hAnsi="仿宋" w:eastAsia="仿宋" w:cs="仿宋"/>
                <w:color w:val="auto"/>
                <w:sz w:val="22"/>
                <w:szCs w:val="22"/>
                <w:lang w:eastAsia="zh-CN"/>
              </w:rPr>
              <w:t>不通过</w:t>
            </w:r>
          </w:p>
          <w:p w14:paraId="1658EFAC">
            <w:pPr>
              <w:ind w:left="0" w:leftChars="0" w:firstLine="0" w:firstLineChars="0"/>
              <w:rPr>
                <w:rFonts w:hint="default" w:ascii="仿宋" w:hAnsi="仿宋" w:eastAsia="仿宋" w:cs="仿宋"/>
                <w:color w:val="auto"/>
                <w:sz w:val="22"/>
                <w:szCs w:val="22"/>
                <w:woUserID w:val="1"/>
              </w:rPr>
            </w:pPr>
            <w:r>
              <w:rPr>
                <w:rFonts w:hint="eastAsia" w:ascii="仿宋" w:hAnsi="仿宋" w:eastAsia="仿宋" w:cs="仿宋"/>
                <w:color w:val="auto"/>
                <w:sz w:val="22"/>
                <w:szCs w:val="22"/>
              </w:rPr>
              <w:t>采购</w:t>
            </w:r>
            <w:r>
              <w:rPr>
                <w:rFonts w:hint="eastAsia" w:ascii="仿宋" w:hAnsi="仿宋" w:eastAsia="仿宋" w:cs="仿宋"/>
                <w:color w:val="auto"/>
                <w:sz w:val="22"/>
                <w:szCs w:val="22"/>
                <w:lang w:val="en-US" w:eastAsia="zh-CN"/>
              </w:rPr>
              <w:t>活动</w:t>
            </w:r>
            <w:r>
              <w:rPr>
                <w:rFonts w:hint="default" w:ascii="仿宋" w:hAnsi="仿宋" w:eastAsia="仿宋" w:cs="仿宋"/>
                <w:color w:val="auto"/>
                <w:sz w:val="22"/>
                <w:szCs w:val="22"/>
                <w:lang w:eastAsia="zh-CN"/>
                <w:woUserID w:val="1"/>
              </w:rPr>
              <w:t>（实施计划）</w:t>
            </w:r>
            <w:r>
              <w:rPr>
                <w:rFonts w:hint="eastAsia" w:ascii="仿宋" w:hAnsi="仿宋" w:eastAsia="仿宋" w:cs="仿宋"/>
                <w:color w:val="auto"/>
                <w:sz w:val="22"/>
                <w:szCs w:val="22"/>
                <w:lang w:val="en-US" w:eastAsia="zh-CN"/>
              </w:rPr>
              <w:t>材料</w:t>
            </w:r>
            <w:r>
              <w:rPr>
                <w:rFonts w:hint="eastAsia" w:ascii="仿宋" w:hAnsi="仿宋" w:eastAsia="仿宋" w:cs="仿宋"/>
                <w:color w:val="auto"/>
                <w:sz w:val="22"/>
                <w:szCs w:val="22"/>
              </w:rPr>
              <w:t>是否完整</w:t>
            </w:r>
            <w:r>
              <w:rPr>
                <w:rFonts w:hint="eastAsia" w:ascii="仿宋" w:hAnsi="仿宋" w:eastAsia="仿宋" w:cs="仿宋"/>
                <w:i w:val="0"/>
                <w:iCs w:val="0"/>
                <w:color w:val="auto"/>
                <w:sz w:val="22"/>
                <w:szCs w:val="22"/>
                <w:lang w:val="en-US" w:eastAsia="zh-CN"/>
              </w:rPr>
              <w:t xml:space="preserve">  </w:t>
            </w:r>
            <w:r>
              <w:rPr>
                <w:rFonts w:hint="eastAsia" w:ascii="仿宋" w:hAnsi="仿宋" w:eastAsia="仿宋" w:cs="仿宋"/>
                <w:color w:val="auto"/>
                <w:sz w:val="22"/>
                <w:szCs w:val="22"/>
                <w:lang w:val="en-US" w:eastAsia="zh-CN"/>
              </w:rPr>
              <w:t xml:space="preserve">   </w:t>
            </w:r>
            <w:r>
              <w:rPr>
                <w:rFonts w:hint="default" w:ascii="仿宋" w:hAnsi="仿宋" w:eastAsia="仿宋" w:cs="仿宋"/>
                <w:color w:val="auto"/>
                <w:sz w:val="22"/>
                <w:szCs w:val="22"/>
                <w:lang w:eastAsia="zh-CN"/>
                <w:woUserID w:val="1"/>
              </w:rPr>
              <w:t xml:space="preserve">    </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lang w:eastAsia="zh-CN"/>
              </w:rPr>
              <w:t>□通过</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rPr>
              <w:t>□</w:t>
            </w:r>
            <w:r>
              <w:rPr>
                <w:rFonts w:hint="eastAsia" w:ascii="仿宋" w:hAnsi="仿宋" w:eastAsia="仿宋" w:cs="仿宋"/>
                <w:color w:val="auto"/>
                <w:sz w:val="22"/>
                <w:szCs w:val="22"/>
                <w:lang w:eastAsia="zh-CN"/>
              </w:rPr>
              <w:t>不通过</w:t>
            </w:r>
          </w:p>
          <w:p w14:paraId="3A5A81C8">
            <w:pPr>
              <w:ind w:left="0" w:leftChars="0" w:firstLine="1320" w:firstLineChars="600"/>
              <w:rPr>
                <w:rFonts w:hint="eastAsia" w:ascii="仿宋" w:hAnsi="仿宋" w:eastAsia="仿宋" w:cs="仿宋"/>
                <w:color w:val="auto"/>
                <w:sz w:val="22"/>
                <w:szCs w:val="22"/>
              </w:rPr>
            </w:pPr>
          </w:p>
          <w:p w14:paraId="1E48FE05">
            <w:pPr>
              <w:ind w:left="0" w:leftChars="0" w:firstLine="1320" w:firstLineChars="600"/>
              <w:rPr>
                <w:rFonts w:hint="eastAsia" w:ascii="仿宋" w:hAnsi="仿宋" w:eastAsia="仿宋" w:cs="仿宋"/>
                <w:color w:val="auto"/>
                <w:sz w:val="22"/>
                <w:szCs w:val="22"/>
              </w:rPr>
            </w:pPr>
          </w:p>
          <w:p w14:paraId="22D29C1A">
            <w:pPr>
              <w:ind w:left="0" w:leftChars="0" w:firstLine="1320" w:firstLineChars="600"/>
              <w:rPr>
                <w:rFonts w:hint="default" w:ascii="仿宋" w:hAnsi="仿宋" w:eastAsia="仿宋" w:cs="仿宋"/>
                <w:color w:val="auto"/>
                <w:sz w:val="22"/>
                <w:szCs w:val="22"/>
                <w:woUserID w:val="1"/>
              </w:rPr>
            </w:pPr>
            <w:r>
              <w:rPr>
                <w:rFonts w:hint="eastAsia" w:ascii="仿宋" w:hAnsi="仿宋" w:eastAsia="仿宋" w:cs="仿宋"/>
                <w:color w:val="auto"/>
                <w:sz w:val="22"/>
                <w:szCs w:val="22"/>
              </w:rPr>
              <w:t xml:space="preserve">负责人签字：         </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盖章</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 xml:space="preserve">     </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rPr>
              <w:t xml:space="preserve">  </w:t>
            </w:r>
            <w:r>
              <w:rPr>
                <w:rFonts w:hint="eastAsia" w:ascii="仿宋" w:hAnsi="仿宋" w:eastAsia="仿宋" w:cs="宋体"/>
                <w:color w:val="auto"/>
                <w:kern w:val="0"/>
                <w:sz w:val="22"/>
                <w:szCs w:val="22"/>
                <w:lang w:val="en-US" w:eastAsia="zh-CN"/>
              </w:rPr>
              <w:t>年   月   日</w:t>
            </w:r>
          </w:p>
        </w:tc>
      </w:tr>
    </w:tbl>
    <w:p w14:paraId="3188BA2A">
      <w:pPr>
        <w:keepNext w:val="0"/>
        <w:keepLines w:val="0"/>
        <w:pageBreakBefore w:val="0"/>
        <w:widowControl w:val="0"/>
        <w:kinsoku/>
        <w:wordWrap/>
        <w:overflowPunct/>
        <w:topLinePunct w:val="0"/>
        <w:autoSpaceDE/>
        <w:autoSpaceDN/>
        <w:bidi w:val="0"/>
        <w:adjustRightInd/>
        <w:snapToGrid/>
        <w:spacing w:line="14" w:lineRule="exact"/>
        <w:textAlignment w:val="auto"/>
        <w:rPr>
          <w:rFonts w:hint="eastAsia" w:ascii="黑体" w:hAnsi="黑体" w:eastAsia="黑体" w:cs="Times New Roman"/>
          <w:color w:val="auto"/>
          <w:sz w:val="32"/>
          <w:szCs w:val="32"/>
        </w:rPr>
      </w:pPr>
    </w:p>
    <w:p w14:paraId="7D300C0B">
      <w:pPr>
        <w:keepNext w:val="0"/>
        <w:keepLines w:val="0"/>
        <w:pageBreakBefore w:val="0"/>
        <w:widowControl w:val="0"/>
        <w:kinsoku/>
        <w:wordWrap/>
        <w:overflowPunct/>
        <w:topLinePunct w:val="0"/>
        <w:autoSpaceDE/>
        <w:autoSpaceDN/>
        <w:bidi w:val="0"/>
        <w:adjustRightInd/>
        <w:snapToGrid/>
        <w:spacing w:line="14" w:lineRule="exact"/>
        <w:textAlignment w:val="auto"/>
        <w:rPr>
          <w:rFonts w:hint="eastAsia" w:ascii="黑体" w:hAnsi="黑体" w:eastAsia="黑体" w:cs="Times New Roman"/>
          <w:color w:val="auto"/>
          <w:sz w:val="32"/>
          <w:szCs w:val="32"/>
        </w:rPr>
      </w:pPr>
    </w:p>
    <w:p w14:paraId="58841979">
      <w:pPr>
        <w:pStyle w:val="2"/>
        <w:rPr>
          <w:rFonts w:hint="eastAsia" w:ascii="黑体" w:hAnsi="黑体" w:eastAsia="黑体" w:cs="Times New Roman"/>
          <w:color w:val="auto"/>
          <w:sz w:val="24"/>
          <w:szCs w:val="24"/>
        </w:rPr>
      </w:pPr>
    </w:p>
    <w:p w14:paraId="17108019">
      <w:pPr>
        <w:pStyle w:val="2"/>
        <w:rPr>
          <w:rFonts w:hint="eastAsia" w:ascii="黑体" w:hAnsi="黑体" w:eastAsia="黑体" w:cs="Times New Roman"/>
          <w:color w:val="auto"/>
          <w:sz w:val="24"/>
          <w:szCs w:val="24"/>
        </w:rPr>
      </w:pPr>
      <w:r>
        <w:rPr>
          <w:rFonts w:hint="eastAsia" w:ascii="黑体" w:hAnsi="黑体" w:eastAsia="黑体" w:cs="Times New Roman"/>
          <w:color w:val="auto"/>
          <w:sz w:val="24"/>
          <w:szCs w:val="24"/>
        </w:rPr>
        <w:t>注：凡是签名均表示同意。</w:t>
      </w:r>
      <w:bookmarkStart w:id="0" w:name="_GoBack"/>
      <w:bookmarkEnd w:id="0"/>
    </w:p>
    <w:sectPr>
      <w:footerReference r:id="rId3" w:type="default"/>
      <w:pgSz w:w="11906" w:h="16838"/>
      <w:pgMar w:top="1440" w:right="1800" w:bottom="1327"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roma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D996D">
    <w:pPr>
      <w:pStyle w:val="3"/>
      <w:wordWrap w:val="0"/>
      <w:jc w:val="right"/>
      <w:rPr>
        <w:rFonts w:ascii="宋体" w:hAnsi="宋体"/>
        <w:sz w:val="28"/>
        <w:szCs w:val="28"/>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65E34"/>
    <w:rsid w:val="105E097A"/>
    <w:rsid w:val="173059F6"/>
    <w:rsid w:val="19A35324"/>
    <w:rsid w:val="1A4B5D7C"/>
    <w:rsid w:val="1CD53A47"/>
    <w:rsid w:val="2190618E"/>
    <w:rsid w:val="2A8B7E3A"/>
    <w:rsid w:val="2D8F379E"/>
    <w:rsid w:val="31CA316E"/>
    <w:rsid w:val="323B0093"/>
    <w:rsid w:val="36FA437E"/>
    <w:rsid w:val="3AF235BE"/>
    <w:rsid w:val="3B7E9F5B"/>
    <w:rsid w:val="3BBC69F5"/>
    <w:rsid w:val="3C22475E"/>
    <w:rsid w:val="3E045AE2"/>
    <w:rsid w:val="3FEFE51A"/>
    <w:rsid w:val="412B630C"/>
    <w:rsid w:val="43C006FD"/>
    <w:rsid w:val="44FC3010"/>
    <w:rsid w:val="47F53D18"/>
    <w:rsid w:val="4A1F5F12"/>
    <w:rsid w:val="4E797E26"/>
    <w:rsid w:val="52A5548E"/>
    <w:rsid w:val="544D406F"/>
    <w:rsid w:val="5A4A0D36"/>
    <w:rsid w:val="6DA710E9"/>
    <w:rsid w:val="6DE46F5D"/>
    <w:rsid w:val="71461992"/>
    <w:rsid w:val="720D24B0"/>
    <w:rsid w:val="72AB1A17"/>
    <w:rsid w:val="75C537CD"/>
    <w:rsid w:val="776E0ADE"/>
    <w:rsid w:val="7AD4026E"/>
    <w:rsid w:val="DFCBD800"/>
    <w:rsid w:val="EC74AE55"/>
    <w:rsid w:val="FFAB849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新宋体"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3">
    <w:name w:val="footer"/>
    <w:basedOn w:val="1"/>
    <w:qFormat/>
    <w:uiPriority w:val="99"/>
    <w:pPr>
      <w:tabs>
        <w:tab w:val="center" w:pos="4153"/>
        <w:tab w:val="right" w:pos="8306"/>
      </w:tabs>
      <w:snapToGrid w:val="0"/>
      <w:jc w:val="left"/>
    </w:pPr>
    <w:rPr>
      <w:sz w:val="18"/>
      <w:szCs w:val="18"/>
    </w:rPr>
  </w:style>
  <w:style w:type="character" w:customStyle="1" w:styleId="6">
    <w:name w:val="font01"/>
    <w:basedOn w:val="5"/>
    <w:qFormat/>
    <w:uiPriority w:val="0"/>
    <w:rPr>
      <w:rFonts w:hint="eastAsia" w:ascii="宋体" w:hAnsi="宋体" w:eastAsia="宋体" w:cs="宋体"/>
      <w:color w:val="000000"/>
      <w:sz w:val="22"/>
      <w:szCs w:val="22"/>
      <w:u w:val="none"/>
    </w:rPr>
  </w:style>
  <w:style w:type="character" w:customStyle="1" w:styleId="7">
    <w:name w:val="font61"/>
    <w:basedOn w:val="5"/>
    <w:qFormat/>
    <w:uiPriority w:val="0"/>
    <w:rPr>
      <w:rFonts w:hint="eastAsia" w:ascii="宋体" w:hAnsi="宋体" w:eastAsia="宋体" w:cs="宋体"/>
      <w:color w:val="000000"/>
      <w:sz w:val="18"/>
      <w:szCs w:val="18"/>
      <w:u w:val="none"/>
    </w:rPr>
  </w:style>
  <w:style w:type="character" w:customStyle="1" w:styleId="8">
    <w:name w:val="font71"/>
    <w:basedOn w:val="5"/>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4797</Words>
  <Characters>5179</Characters>
  <Lines>0</Lines>
  <Paragraphs>0</Paragraphs>
  <TotalTime>111</TotalTime>
  <ScaleCrop>false</ScaleCrop>
  <LinksUpToDate>false</LinksUpToDate>
  <CharactersWithSpaces>5998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2025-04-14T11:08:00Z</dcterms:created>
  <dc:creator>ccpp</dc:creator>
  <cp:lastModifiedBy>保国一书神 川平</cp:lastModifiedBy>
  <cp:lastPrinted>2025-06-24T07:17:00Z</cp:lastPrinted>
  <dcterms:modified xsi:type="dcterms:W3CDTF">2025-07-02T00:28:49Z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eyJoZGlkIjoiYWVmOTg5Yzg1ODU4MTVjN2UzZWEyYThmOTg0NTBlNzciLCJ1c2VySWQiOiI0ODczMDIwMTIifQ==</vt:lpwstr>
  </property>
  <property fmtid="{D5CDD505-2E9C-101B-9397-08002B2CF9AE}" pid="4" name="ICV">
    <vt:lpwstr>4BB75F6272644D378638BD2461FAB2BE_12</vt:lpwstr>
  </property>
</Properties>
</file>